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大厂回族自治县北辰街道办事处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根据《街道办职能配置、内设机构和人员编制规定》， 街道办的主要职责是：</w:t>
      </w:r>
    </w:p>
    <w:p>
      <w:pPr>
        <w:spacing w:line="58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（一）宣传贯彻执行党的路线方针政策和党中央、上级党组织的决议。贯彻执行法律、法规、规章和上级人民代表大会及其常务委员会决议及上级政府的决定、命令，依法管理辖区公共事务。</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（三）负责办理上级人大常委会交办的监督、选举以及其他工作，做好人大代表工作，联系选民、反映群众意见和要求。</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四）加强街道党工委自身建设和基层党组织建设，履行全面从严治党主体责任，建立健全党建联席会议制度，全面推进辖区党的政治建设、思想建设、组织建设、作风建设、纪律建设，把制度建设贯彻其中，组织开展党风廉政建设和反腐败工作。</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pStyle w:val="2"/>
        <w:widowControl/>
        <w:spacing w:after="0" w:line="580" w:lineRule="exact"/>
        <w:ind w:firstLine="803" w:firstLineChars="251"/>
        <w:rPr>
          <w:rFonts w:ascii="仿宋" w:hAnsi="仿宋" w:eastAsia="仿宋" w:cs="仿宋"/>
          <w:sz w:val="32"/>
          <w:szCs w:val="32"/>
        </w:rPr>
      </w:pPr>
      <w:r>
        <w:rPr>
          <w:rFonts w:hint="eastAsia" w:ascii="仿宋" w:hAnsi="仿宋" w:eastAsia="仿宋" w:cs="仿宋"/>
          <w:sz w:val="32"/>
          <w:szCs w:val="32"/>
        </w:rPr>
        <w:t>(七)按照管理权限，对街道机关及所属单位干部进行教育、培训、选拔、考核和监督，对上级政府职能部门派出机构的工作考核和主要负责同志任免提出意见。</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 xml:space="preserve">（八）组织维护辖区安全稳定，协调推动社会治安综合治理，做好应急管理、民族宗教工作，承担民兵预备役、征兵、退役军人服务、拥军优属、防范邪教等工作。      </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（九）组织开展群众性文化、体育、科普活动，开展法治宣传和社会公德教育，推动社区公益事业发展。维护老年人、妇女、未成年人、残疾人等合法权益。</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（十）参与辖区设施规划、建设和验收，综合管理、统筹调度和考核督办涉及辖区的公共事务，按照有关规定统筹使用下沉到街道社区的人财物等资源。</w:t>
      </w:r>
    </w:p>
    <w:p>
      <w:pPr>
        <w:pStyle w:val="2"/>
        <w:widowControl/>
        <w:spacing w:after="0" w:line="580" w:lineRule="exact"/>
        <w:ind w:firstLine="645"/>
        <w:rPr>
          <w:rFonts w:ascii="仿宋" w:hAnsi="仿宋" w:eastAsia="仿宋" w:cs="仿宋"/>
          <w:sz w:val="32"/>
          <w:szCs w:val="32"/>
        </w:rPr>
      </w:pPr>
      <w:r>
        <w:rPr>
          <w:rFonts w:hint="eastAsia" w:ascii="仿宋" w:hAnsi="仿宋" w:eastAsia="仿宋" w:cs="仿宋"/>
          <w:sz w:val="32"/>
          <w:szCs w:val="32"/>
        </w:rPr>
        <w:t>（十一）承办上级党委、人大、政府交办的其他事项。</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大厂回族自治县北辰街道办事处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rPr>
        <w:t>3382.61</w:t>
      </w:r>
      <w:r>
        <w:rPr>
          <w:rFonts w:ascii="仿宋" w:hAnsi="仿宋" w:eastAsia="仿宋" w:cs="Times New Roman"/>
          <w:sz w:val="32"/>
          <w:szCs w:val="32"/>
        </w:rPr>
        <w:t>万元，其中：一般公共预算收入</w:t>
      </w:r>
      <w:r>
        <w:rPr>
          <w:rFonts w:hint="eastAsia" w:ascii="仿宋" w:hAnsi="仿宋" w:eastAsia="仿宋" w:cs="Times New Roman"/>
          <w:sz w:val="32"/>
          <w:szCs w:val="32"/>
        </w:rPr>
        <w:t>3362.61</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20.00万元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3382.61</w:t>
      </w:r>
      <w:r>
        <w:rPr>
          <w:rFonts w:ascii="仿宋" w:hAnsi="仿宋" w:eastAsia="仿宋" w:cs="Times New Roman"/>
          <w:sz w:val="32"/>
          <w:szCs w:val="32"/>
        </w:rPr>
        <w:t>万元，其中基本支出</w:t>
      </w:r>
      <w:r>
        <w:rPr>
          <w:rFonts w:hint="eastAsia" w:ascii="仿宋" w:hAnsi="仿宋" w:eastAsia="仿宋" w:cs="Times New Roman"/>
          <w:sz w:val="32"/>
          <w:szCs w:val="32"/>
        </w:rPr>
        <w:t>671.04</w:t>
      </w:r>
      <w:r>
        <w:rPr>
          <w:rFonts w:ascii="仿宋" w:hAnsi="仿宋" w:eastAsia="仿宋" w:cs="Times New Roman"/>
          <w:sz w:val="32"/>
          <w:szCs w:val="32"/>
        </w:rPr>
        <w:t>万元，包括人员类项目经费</w:t>
      </w:r>
      <w:r>
        <w:rPr>
          <w:rFonts w:hint="eastAsia" w:ascii="仿宋" w:hAnsi="仿宋" w:eastAsia="仿宋" w:cs="Times New Roman"/>
          <w:sz w:val="32"/>
          <w:szCs w:val="32"/>
        </w:rPr>
        <w:t>577.71</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93.33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2711.57</w:t>
      </w:r>
      <w:r>
        <w:rPr>
          <w:rFonts w:ascii="仿宋" w:hAnsi="仿宋" w:eastAsia="仿宋" w:cs="Times New Roman"/>
          <w:sz w:val="32"/>
          <w:szCs w:val="32"/>
        </w:rPr>
        <w:t>万元，包括本级支出，主要为</w:t>
      </w:r>
      <w:r>
        <w:rPr>
          <w:rFonts w:hint="eastAsia" w:ascii="仿宋" w:hAnsi="仿宋" w:eastAsia="仿宋" w:cs="Times New Roman"/>
          <w:sz w:val="32"/>
          <w:szCs w:val="32"/>
        </w:rPr>
        <w:t>城区老旧住宅小区公共基础设施和背街小巷道路改造提升工程资金（尾款）、老旧小区改造二期工程（尾款）、社区党组织服务群众专项经费、创城项目资金、北辰街道平房区公共基础设施改造提升工程</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3363.01</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rPr>
        <w:t>1024.31</w:t>
      </w:r>
      <w:r>
        <w:rPr>
          <w:rFonts w:ascii="仿宋" w:hAnsi="仿宋" w:eastAsia="仿宋" w:cs="Times New Roman"/>
          <w:sz w:val="32"/>
          <w:szCs w:val="32"/>
        </w:rPr>
        <w:t>万元，其中：基本支出增加</w:t>
      </w:r>
      <w:r>
        <w:rPr>
          <w:rFonts w:hint="eastAsia" w:ascii="仿宋" w:hAnsi="仿宋" w:eastAsia="仿宋" w:cs="Times New Roman"/>
          <w:sz w:val="32"/>
          <w:szCs w:val="32"/>
        </w:rPr>
        <w:t>68.62</w:t>
      </w:r>
      <w:r>
        <w:rPr>
          <w:rFonts w:ascii="仿宋" w:hAnsi="仿宋" w:eastAsia="仿宋" w:cs="Times New Roman"/>
          <w:sz w:val="32"/>
          <w:szCs w:val="32"/>
        </w:rPr>
        <w:t>万元，主要为</w:t>
      </w:r>
      <w:r>
        <w:rPr>
          <w:rFonts w:hint="eastAsia" w:ascii="仿宋" w:hAnsi="仿宋" w:eastAsia="仿宋" w:cs="Times New Roman"/>
          <w:sz w:val="32"/>
          <w:szCs w:val="32"/>
        </w:rPr>
        <w:t>机构改革人员调入</w:t>
      </w:r>
      <w:r>
        <w:rPr>
          <w:rFonts w:ascii="仿宋" w:hAnsi="仿宋" w:eastAsia="仿宋" w:cs="Times New Roman"/>
          <w:sz w:val="32"/>
          <w:szCs w:val="32"/>
        </w:rPr>
        <w:t>支出；项目支出增加</w:t>
      </w:r>
      <w:r>
        <w:rPr>
          <w:rFonts w:hint="eastAsia" w:ascii="仿宋" w:hAnsi="仿宋" w:eastAsia="仿宋" w:cs="Times New Roman"/>
          <w:sz w:val="32"/>
          <w:szCs w:val="32"/>
        </w:rPr>
        <w:t>956.29</w:t>
      </w:r>
      <w:r>
        <w:rPr>
          <w:rFonts w:ascii="仿宋" w:hAnsi="仿宋" w:eastAsia="仿宋" w:cs="Times New Roman"/>
          <w:sz w:val="32"/>
          <w:szCs w:val="32"/>
        </w:rPr>
        <w:t>万元，主要为</w:t>
      </w:r>
      <w:r>
        <w:rPr>
          <w:rFonts w:hint="eastAsia" w:ascii="仿宋" w:hAnsi="仿宋" w:eastAsia="仿宋" w:cs="Times New Roman"/>
          <w:sz w:val="32"/>
          <w:szCs w:val="32"/>
        </w:rPr>
        <w:t>北辰街道平房区公共基础设施改造提升工程、行政综合服务中心改造提升工程、社区及新时代文明实践所房租、创城项目资金等</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93.33</w:t>
      </w:r>
      <w:r>
        <w:rPr>
          <w:rFonts w:ascii="仿宋" w:hAnsi="仿宋" w:eastAsia="仿宋" w:cs="Times New Roman"/>
          <w:sz w:val="32"/>
          <w:szCs w:val="32"/>
        </w:rPr>
        <w:t>万元，主要用于</w:t>
      </w:r>
      <w:r>
        <w:rPr>
          <w:rFonts w:hint="eastAsia" w:ascii="仿宋" w:hAnsi="仿宋" w:eastAsia="仿宋" w:cs="仿宋"/>
          <w:sz w:val="32"/>
          <w:szCs w:val="32"/>
        </w:rPr>
        <w:t>大厂回族自治县北辰街道办事处</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8.56</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8.10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8.10</w:t>
      </w:r>
      <w:r>
        <w:rPr>
          <w:rFonts w:ascii="仿宋" w:hAnsi="仿宋" w:eastAsia="仿宋" w:cs="Times New Roman"/>
          <w:sz w:val="32"/>
          <w:szCs w:val="32"/>
        </w:rPr>
        <w:t>万元)；公务接待费</w:t>
      </w:r>
      <w:r>
        <w:rPr>
          <w:rFonts w:hint="eastAsia" w:ascii="仿宋" w:hAnsi="仿宋" w:eastAsia="仿宋" w:cs="Times New Roman"/>
          <w:sz w:val="32"/>
          <w:szCs w:val="32"/>
        </w:rPr>
        <w:t>0.46</w:t>
      </w:r>
      <w:r>
        <w:rPr>
          <w:rFonts w:ascii="仿宋" w:hAnsi="仿宋" w:eastAsia="仿宋" w:cs="Times New Roman"/>
          <w:sz w:val="32"/>
          <w:szCs w:val="32"/>
        </w:rPr>
        <w:t>万元。与20</w:t>
      </w:r>
      <w:r>
        <w:rPr>
          <w:rFonts w:hint="eastAsia" w:ascii="仿宋" w:hAnsi="仿宋" w:eastAsia="仿宋" w:cs="Times New Roman"/>
          <w:sz w:val="32"/>
          <w:szCs w:val="32"/>
        </w:rPr>
        <w:t>20</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增</w:t>
      </w:r>
      <w:r>
        <w:rPr>
          <w:rFonts w:hint="eastAsia" w:ascii="仿宋" w:hAnsi="仿宋" w:eastAsia="仿宋" w:cs="Times New Roman"/>
          <w:sz w:val="32"/>
          <w:szCs w:val="32"/>
        </w:rPr>
        <w:t>加3.26</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公务用车购置及运维费增</w:t>
      </w:r>
      <w:r>
        <w:rPr>
          <w:rFonts w:hint="eastAsia" w:ascii="仿宋" w:hAnsi="仿宋" w:eastAsia="仿宋" w:cs="Times New Roman"/>
          <w:sz w:val="32"/>
          <w:szCs w:val="32"/>
        </w:rPr>
        <w:t>加3.10</w:t>
      </w:r>
      <w:r>
        <w:rPr>
          <w:rFonts w:ascii="仿宋" w:hAnsi="仿宋" w:eastAsia="仿宋" w:cs="Times New Roman"/>
          <w:sz w:val="32"/>
          <w:szCs w:val="32"/>
        </w:rPr>
        <w:t>万元（其中：公务用车运维费增</w:t>
      </w:r>
      <w:r>
        <w:rPr>
          <w:rFonts w:hint="eastAsia" w:ascii="仿宋" w:hAnsi="仿宋" w:eastAsia="仿宋" w:cs="Times New Roman"/>
          <w:sz w:val="32"/>
          <w:szCs w:val="32"/>
        </w:rPr>
        <w:t>加3.10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我单位2020年增加执法用车一辆，维护费相应增加</w:t>
      </w:r>
      <w:r>
        <w:rPr>
          <w:rFonts w:ascii="仿宋" w:hAnsi="仿宋" w:eastAsia="仿宋" w:cs="Times New Roman"/>
          <w:sz w:val="32"/>
          <w:szCs w:val="32"/>
        </w:rPr>
        <w:t>；公务接待费增</w:t>
      </w:r>
      <w:r>
        <w:rPr>
          <w:rFonts w:hint="eastAsia" w:ascii="仿宋" w:hAnsi="仿宋" w:eastAsia="仿宋" w:cs="Times New Roman"/>
          <w:sz w:val="32"/>
          <w:szCs w:val="32"/>
        </w:rPr>
        <w:t>加0.16万元，</w:t>
      </w:r>
      <w:r>
        <w:rPr>
          <w:rFonts w:ascii="仿宋" w:hAnsi="仿宋" w:eastAsia="仿宋" w:cs="Times New Roman"/>
          <w:sz w:val="32"/>
          <w:szCs w:val="32"/>
        </w:rPr>
        <w:t>主要原因是计算标准提高</w:t>
      </w:r>
      <w:r>
        <w:rPr>
          <w:rFonts w:hint="eastAsia" w:ascii="仿宋" w:hAnsi="仿宋" w:eastAsia="仿宋"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（一）推进党的建设。把加强社区基层党组织建设放在首位，完善11个社区硬件设施，为社区党员搭建活动平台。突出党建引领，不断加强自身建设。</w:t>
      </w:r>
    </w:p>
    <w:p>
      <w:pPr>
        <w:spacing w:line="500" w:lineRule="exact"/>
        <w:ind w:firstLine="560" w:firstLineChars="200"/>
        <w:jc w:val="left"/>
        <w:rPr>
          <w:rFonts w:eastAsia="方正仿宋_GBK"/>
          <w:sz w:val="28"/>
        </w:rPr>
      </w:pPr>
      <w:r>
        <w:rPr>
          <w:rFonts w:eastAsia="方正仿宋_GBK"/>
          <w:sz w:val="28"/>
        </w:rPr>
        <w:t>（二）推进社区建设。坚持从基础抓起，完善硬件设施，扩大工作辖区范围，推进社区设施建设，完善社区公共基础设施，提升社区服务群众能力。创建新时代文明实践所（站），打造服务平台。继续推进“智慧社区”平台建设，对智慧社区系统进行维护，完善城市管理和服务,搭建便民高效的街道社区基层管理服务平台。</w:t>
      </w:r>
    </w:p>
    <w:p>
      <w:pPr>
        <w:spacing w:line="500" w:lineRule="exact"/>
        <w:ind w:firstLine="560" w:firstLineChars="200"/>
        <w:jc w:val="left"/>
        <w:rPr>
          <w:rFonts w:eastAsia="方正仿宋_GBK"/>
          <w:sz w:val="28"/>
        </w:rPr>
      </w:pPr>
      <w:r>
        <w:rPr>
          <w:rFonts w:eastAsia="方正仿宋_GBK"/>
          <w:sz w:val="28"/>
        </w:rPr>
        <w:t>（三）巩固“五城同建”成果。巩固国家卫生县城、全国文明城市、双拥模范城、国家园林县城创建成果，做好全国文明城市的复检准备工作，争创全国生态文明城市。</w:t>
      </w:r>
    </w:p>
    <w:p>
      <w:pPr>
        <w:spacing w:line="500" w:lineRule="exact"/>
        <w:ind w:firstLine="560" w:firstLineChars="200"/>
        <w:jc w:val="left"/>
        <w:rPr>
          <w:rFonts w:eastAsia="方正仿宋_GBK"/>
          <w:sz w:val="28"/>
        </w:rPr>
      </w:pPr>
      <w:r>
        <w:rPr>
          <w:rFonts w:eastAsia="方正仿宋_GBK"/>
          <w:sz w:val="28"/>
        </w:rPr>
        <w:t>（四）加强维护稳定、环境治理和安全生产工作。1、严格落实属地管理、“一岗双责”，担负起维护稳定、环境治理、安全生产双重责任。按照上级相关工作要求，抓好街道社区维护稳定重点工作。2、大力加强大气污染防治工作，加大环境巡查力度和环保宣传，以此为抓手，促进环境治理。3、开展安全生产专项行动，集中对重点区域、重点环节、重点部位进行安全隐患排查，建立完善各项职责、制度及基础档案，促进安全生产工作全面提升。4、建强街道执法队伍，配齐执法设施，加强执法培训，提高依法执法水平。</w:t>
      </w:r>
    </w:p>
    <w:p>
      <w:pPr>
        <w:spacing w:line="500" w:lineRule="exact"/>
        <w:ind w:firstLine="560" w:firstLineChars="200"/>
        <w:jc w:val="left"/>
        <w:rPr>
          <w:rFonts w:eastAsia="方正仿宋_GBK"/>
          <w:sz w:val="28"/>
        </w:rPr>
      </w:pPr>
      <w:r>
        <w:rPr>
          <w:rFonts w:eastAsia="方正仿宋_GBK"/>
          <w:sz w:val="28"/>
        </w:rPr>
        <w:t>（五）推进社会保障工作。一是落实《河北省城镇居民最低生活保障实施办法》，严格低保户管理，在动态管理下做到应保尽保；二是加强社会救助工作，加强扶残助残，加大对城镇残疾人，特别是重度残疾人的帮扶力度，切实解决实际生活困难。三是做好75以上老年人生活补贴申报工作；四是组织社区60周岁以上老年人免费体检；五是继续开展城镇低收入住房困难家庭廉租住房申报复核工作，摸清情况底数，建立工作档案，做好动态管理；六是继续开展城镇居民养老保险、基本医疗保险征缴宣传工作，倡导居民网上缴费，积极做好参保人员各项服务。</w:t>
      </w:r>
    </w:p>
    <w:p>
      <w:pPr>
        <w:spacing w:line="500" w:lineRule="exact"/>
        <w:ind w:firstLine="560" w:firstLineChars="200"/>
        <w:jc w:val="left"/>
        <w:rPr>
          <w:rFonts w:eastAsia="方正仿宋_GBK"/>
          <w:sz w:val="28"/>
        </w:rPr>
      </w:pPr>
      <w:r>
        <w:rPr>
          <w:rFonts w:eastAsia="方正仿宋_GBK"/>
          <w:sz w:val="28"/>
        </w:rPr>
        <w:t>(六）加强计划生育工作。继续开展城区已婚育龄妇女的摸查建档工作，强化动态管理。健全城区计生工作网络，配齐配强计生育龄妇女小组长,指导开展工作。</w:t>
      </w:r>
    </w:p>
    <w:p>
      <w:pPr>
        <w:spacing w:line="500" w:lineRule="exact"/>
        <w:ind w:firstLine="560" w:firstLineChars="200"/>
        <w:jc w:val="left"/>
        <w:rPr>
          <w:rFonts w:eastAsia="方正仿宋_GBK"/>
          <w:sz w:val="28"/>
        </w:rPr>
      </w:pPr>
      <w:r>
        <w:rPr>
          <w:rFonts w:eastAsia="方正仿宋_GBK"/>
          <w:sz w:val="28"/>
        </w:rPr>
        <w:t>(七）加强退役军人服务管理。以现有社区11个退役军人服务站为依托，逐步完善服务机制，强化管理。</w:t>
      </w:r>
    </w:p>
    <w:p>
      <w:pPr>
        <w:spacing w:line="500" w:lineRule="exact"/>
        <w:ind w:firstLine="560" w:firstLineChars="200"/>
        <w:jc w:val="left"/>
        <w:rPr>
          <w:rFonts w:eastAsia="方正仿宋_GBK"/>
          <w:sz w:val="28"/>
        </w:rPr>
      </w:pPr>
      <w:r>
        <w:rPr>
          <w:rFonts w:eastAsia="方正仿宋_GBK"/>
          <w:sz w:val="28"/>
        </w:rPr>
        <w:t>(八）加强社区文化建设。以新时代文明所、站为阵地，按照街道指导、社区组织、骨干带动、群众参与的原则，每月组织开展各类社区活动。</w:t>
      </w:r>
    </w:p>
    <w:p>
      <w:pPr>
        <w:spacing w:line="500" w:lineRule="exact"/>
        <w:ind w:firstLine="560" w:firstLineChars="200"/>
        <w:jc w:val="left"/>
        <w:rPr>
          <w:rFonts w:eastAsia="方正仿宋_GBK"/>
          <w:sz w:val="28"/>
        </w:rPr>
      </w:pPr>
      <w:r>
        <w:rPr>
          <w:rFonts w:eastAsia="方正仿宋_GBK"/>
          <w:sz w:val="28"/>
        </w:rPr>
        <w:t>（九）完成县委、县政府交办的其它各项工作任务。</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（一）加强社区党支部和社区居民委员会建设管理</w:t>
      </w:r>
    </w:p>
    <w:p>
      <w:pPr>
        <w:spacing w:line="500" w:lineRule="exact"/>
        <w:ind w:firstLine="560" w:firstLineChars="200"/>
        <w:jc w:val="left"/>
        <w:rPr>
          <w:rFonts w:eastAsia="方正仿宋_GBK"/>
          <w:sz w:val="28"/>
        </w:rPr>
      </w:pPr>
      <w:r>
        <w:rPr>
          <w:rFonts w:eastAsia="方正仿宋_GBK"/>
          <w:sz w:val="28"/>
        </w:rPr>
        <w:t>执行“三会一课”制度，定期召开组织会议，组织党员开展组织活动，提高党员整体素质；加强居委会软硬件建设，完善居委会服务功能，提高居委会服务水平。巩固全国文明城市创建成果，提高居民群众文明素质；开展平安社区创建，进一步加大信访维稳工作力度，建立信访维稳长效机制，有效化解各类矛盾隐患，增加信访案件的调处率，充分发挥城区信访维稳“第一道防线”作用。</w:t>
      </w:r>
    </w:p>
    <w:p>
      <w:pPr>
        <w:spacing w:line="500" w:lineRule="exact"/>
        <w:ind w:firstLine="560" w:firstLineChars="200"/>
        <w:jc w:val="left"/>
        <w:rPr>
          <w:rFonts w:eastAsia="方正仿宋_GBK"/>
          <w:sz w:val="28"/>
        </w:rPr>
      </w:pPr>
      <w:r>
        <w:rPr>
          <w:rFonts w:eastAsia="方正仿宋_GBK"/>
          <w:sz w:val="28"/>
        </w:rPr>
        <w:t>绩效目标：组织党员活动，提高党员整体素质；完善居委会服务水平，提高居民群众文明素质；做好信访维稳“第一道防线”，有效化解各类矛盾隐患。</w:t>
      </w:r>
    </w:p>
    <w:p>
      <w:pPr>
        <w:spacing w:line="500" w:lineRule="exact"/>
        <w:ind w:firstLine="560" w:firstLineChars="200"/>
        <w:jc w:val="left"/>
        <w:rPr>
          <w:rFonts w:eastAsia="方正仿宋_GBK"/>
          <w:sz w:val="28"/>
        </w:rPr>
      </w:pPr>
      <w:r>
        <w:rPr>
          <w:rFonts w:eastAsia="方正仿宋_GBK"/>
          <w:sz w:val="28"/>
        </w:rPr>
        <w:t>（二）协调住房和城乡建设、政法、工商、卫生计生、供电、邮政、通讯、文化、教育、税务、社会事务、财政、广电、安监、统计等部门涉及城区居民生产、生活的相关事宜。</w:t>
      </w:r>
    </w:p>
    <w:p>
      <w:pPr>
        <w:spacing w:line="500" w:lineRule="exact"/>
        <w:ind w:firstLine="560" w:firstLineChars="200"/>
        <w:jc w:val="left"/>
        <w:rPr>
          <w:rFonts w:eastAsia="方正仿宋_GBK"/>
          <w:sz w:val="28"/>
        </w:rPr>
      </w:pPr>
      <w:r>
        <w:rPr>
          <w:rFonts w:eastAsia="方正仿宋_GBK"/>
          <w:sz w:val="28"/>
        </w:rPr>
        <w:t>开展各种排查治理，进行安全生产监督；落实相关政策，开展各种民政工作；落实相关政策，开展各种劳动保障工作。保障劳动和社会保障专线正常运转；协调各相关部门，开展各种数据统计及普查工作；开展人民武装工作。</w:t>
      </w:r>
    </w:p>
    <w:p>
      <w:pPr>
        <w:spacing w:line="500" w:lineRule="exact"/>
        <w:ind w:firstLine="560" w:firstLineChars="200"/>
        <w:jc w:val="left"/>
        <w:rPr>
          <w:rFonts w:eastAsia="方正仿宋_GBK"/>
          <w:sz w:val="28"/>
        </w:rPr>
      </w:pPr>
      <w:r>
        <w:rPr>
          <w:rFonts w:eastAsia="方正仿宋_GBK"/>
          <w:sz w:val="28"/>
        </w:rPr>
        <w:t>绩效目标：推进安全生产承诺，完善安全生产应急预案，加强城镇居民最低生活保障、特困医疗救助、残疾人社会救助等工作规范化管理，保证各种数据统计及普查工作的准确性，加强武装部规范化建设。</w:t>
      </w:r>
    </w:p>
    <w:p>
      <w:pPr>
        <w:spacing w:line="500" w:lineRule="exact"/>
        <w:ind w:firstLine="560" w:firstLineChars="200"/>
        <w:jc w:val="left"/>
        <w:rPr>
          <w:rFonts w:eastAsia="方正仿宋_GBK"/>
          <w:sz w:val="28"/>
        </w:rPr>
      </w:pPr>
      <w:r>
        <w:rPr>
          <w:rFonts w:eastAsia="方正仿宋_GBK"/>
          <w:sz w:val="28"/>
        </w:rPr>
        <w:t>（三）为城区居民搞好各项利民、便民、惠民服务工作</w:t>
      </w:r>
    </w:p>
    <w:p>
      <w:pPr>
        <w:spacing w:line="500" w:lineRule="exact"/>
        <w:ind w:firstLine="560" w:firstLineChars="200"/>
        <w:jc w:val="left"/>
        <w:rPr>
          <w:rFonts w:eastAsia="方正仿宋_GBK"/>
          <w:sz w:val="28"/>
        </w:rPr>
      </w:pPr>
      <w:r>
        <w:rPr>
          <w:rFonts w:eastAsia="方正仿宋_GBK"/>
          <w:sz w:val="28"/>
        </w:rPr>
        <w:t>进一步深化民主议事机制，以建立“群众说事、干部解题”机制为契机，强化社区居民便民惠民服务，提升北辰街道综合服务能力。</w:t>
      </w:r>
    </w:p>
    <w:p>
      <w:pPr>
        <w:spacing w:line="500" w:lineRule="exact"/>
        <w:ind w:firstLine="560" w:firstLineChars="200"/>
        <w:jc w:val="left"/>
        <w:rPr>
          <w:rFonts w:eastAsia="方正仿宋_GBK"/>
          <w:sz w:val="28"/>
        </w:rPr>
      </w:pPr>
      <w:r>
        <w:rPr>
          <w:rFonts w:eastAsia="方正仿宋_GBK"/>
          <w:sz w:val="28"/>
        </w:rPr>
        <w:t>绩效目标：落实“群众说事、干部解题”协商议事机制，群策群力，大力推进民生工程、惠民实事，进一步提高居民生活满意程度。</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（一）加强社区基层党组织建设。充分发挥街道党委、社区党支部总揽全局、协调各方的领导核心作用，形成横向到边、纵向到底的工作格局,抓好社区党员管理和教育。</w:t>
      </w:r>
    </w:p>
    <w:p>
      <w:pPr>
        <w:spacing w:line="500" w:lineRule="exact"/>
        <w:ind w:firstLine="560" w:firstLineChars="200"/>
        <w:jc w:val="left"/>
        <w:rPr>
          <w:rFonts w:eastAsia="方正仿宋_GBK"/>
          <w:sz w:val="28"/>
        </w:rPr>
      </w:pPr>
      <w:r>
        <w:rPr>
          <w:rFonts w:eastAsia="方正仿宋_GBK"/>
          <w:sz w:val="28"/>
        </w:rPr>
        <w:t>（二）巩固“五城同建”创建成果，推进国家生态文明县城创建工作。第一，巩固全国文明城市创建结果。以新时代文明实践所（站）建设为依托，推进民主议事，满足居民物质文化需求，推进志愿服务活动。以街道社区党员志愿者为骨干，广泛开展以邻里相见互招手、团结互助伸援手、美化家园齐动手、文明出行同携手、安全防范共联手、科学生活显身手、文化娱乐多面手、多方联动来牵手为主要内容的志愿服务活动，把志愿服务的“助人”和“育人”有机结合起来，提升志愿服务水平，营造浓厚的和谐氛围。第二，推进创建国家生态文明城县城工作。一是对标国家生态文明县城目标要求，逐项抓好落实，补短板、促提升；二是对居民小区公共基础设施进行维修维护，对引进的专业化物业管理企业进行扶持。打造精品社区，改造提升平房小区基础设施。第三，抓好基层武装部规范化建设。积极做好征兵工作，按要求完成兵役登记及2021年征兵任务；积极开展民兵整组工作。</w:t>
      </w:r>
    </w:p>
    <w:p>
      <w:pPr>
        <w:spacing w:line="500" w:lineRule="exact"/>
        <w:ind w:firstLine="560" w:firstLineChars="200"/>
        <w:jc w:val="left"/>
        <w:rPr>
          <w:rFonts w:eastAsia="方正仿宋_GBK"/>
          <w:sz w:val="28"/>
        </w:rPr>
      </w:pPr>
      <w:r>
        <w:rPr>
          <w:rFonts w:eastAsia="方正仿宋_GBK"/>
          <w:sz w:val="28"/>
        </w:rPr>
        <w:t>（三）把维护稳定、大气治理、安全生产作为第一责任。街道上下要严格落实属地管理、“一岗双责”，担负起信访稳定、大气治理、安全生产双重责任。按照省、市、县委相关工作要求，抓好街道、社区的维护稳定工作。排查化解矛盾隐患，调处信访案件，维护群众利益。做好秋冬季大气污染防治综合治理攻坚战，促进北辰街道大气污染防治工作抓出成效。开展安全生产专项行动，集中对重点区域、重点环节、重点部位进行安全隐患排查，防范各类事故发生，建立完善各项职责、制度及基础档案，促进安全生产工作全面提升。</w:t>
      </w:r>
    </w:p>
    <w:p>
      <w:pPr>
        <w:spacing w:line="500" w:lineRule="exact"/>
        <w:ind w:firstLine="560" w:firstLineChars="200"/>
        <w:jc w:val="left"/>
        <w:rPr>
          <w:rFonts w:eastAsia="方正仿宋_GBK"/>
          <w:sz w:val="28"/>
        </w:rPr>
      </w:pPr>
      <w:r>
        <w:rPr>
          <w:rFonts w:eastAsia="方正仿宋_GBK"/>
          <w:sz w:val="28"/>
        </w:rPr>
        <w:t>（四）抓好社区活动。发动社区居民，不断丰富社区活动，以新时代文明实践所、站为活动地点，每个社区每月组织开展不少于两次，做到“接地气”、“聚人气”，实现固定活动经常化，阶段性活动特色化。</w:t>
      </w:r>
    </w:p>
    <w:p>
      <w:pPr>
        <w:spacing w:line="500" w:lineRule="exact"/>
        <w:ind w:firstLine="560" w:firstLineChars="200"/>
        <w:jc w:val="left"/>
        <w:rPr>
          <w:rFonts w:eastAsia="方正仿宋_GBK"/>
          <w:sz w:val="28"/>
        </w:rPr>
      </w:pPr>
      <w:r>
        <w:rPr>
          <w:rFonts w:eastAsia="方正仿宋_GBK"/>
          <w:sz w:val="28"/>
        </w:rPr>
        <w:t>（五）推进民生保障。加强城镇居民最低生活保障、特困医疗救助、残疾人社会救助等工作规范化管理，做好城镇居民养老保险、医疗保险宣传服务及高龄老人生活补贴办理、60周岁以上老年人免费体检等工作，落实困难群众各项扶助政策。</w:t>
      </w:r>
    </w:p>
    <w:p>
      <w:pPr>
        <w:spacing w:line="500" w:lineRule="exact"/>
        <w:ind w:firstLine="560" w:firstLineChars="200"/>
        <w:jc w:val="left"/>
        <w:rPr>
          <w:rFonts w:eastAsia="方正仿宋_GBK"/>
          <w:sz w:val="28"/>
        </w:rPr>
      </w:pPr>
      <w:r>
        <w:rPr>
          <w:rFonts w:eastAsia="方正仿宋_GBK"/>
          <w:sz w:val="28"/>
        </w:rPr>
        <w:t>（六）进一步提升社区信息化建设。发挥智慧社区作用，加强线上服务。</w:t>
      </w:r>
    </w:p>
    <w:p>
      <w:pPr>
        <w:spacing w:line="500" w:lineRule="exact"/>
        <w:ind w:firstLine="560" w:firstLineChars="200"/>
        <w:jc w:val="left"/>
        <w:rPr>
          <w:rFonts w:eastAsia="方正仿宋_GBK"/>
          <w:sz w:val="28"/>
        </w:rPr>
      </w:pPr>
      <w:r>
        <w:rPr>
          <w:rFonts w:eastAsia="方正仿宋_GBK"/>
          <w:sz w:val="28"/>
        </w:rPr>
        <w:t>（七）加强党风廉政建设。一是严格执行党中央八项规定和省市县委各项要求；二是全面落实两个责任，即党委主体责任和纪委监督责任；三是用铁的工作纪律，保证街道社区各项工作扎实推进。</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11"/>
        <w:tblW w:w="11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0"/>
        <w:gridCol w:w="708"/>
        <w:gridCol w:w="993"/>
        <w:gridCol w:w="2490"/>
        <w:gridCol w:w="2762"/>
        <w:gridCol w:w="850"/>
        <w:gridCol w:w="709"/>
        <w:gridCol w:w="85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4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7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4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60" w:type="dxa"/>
            <w:vMerge w:val="continue"/>
            <w:tcBorders>
              <w:tl2br w:val="nil"/>
              <w:tr2bl w:val="nil"/>
            </w:tcBorders>
            <w:vAlign w:val="center"/>
          </w:tcPr>
          <w:p/>
        </w:tc>
        <w:tc>
          <w:tcPr>
            <w:tcW w:w="708" w:type="dxa"/>
            <w:vMerge w:val="continue"/>
            <w:tcBorders>
              <w:tl2br w:val="nil"/>
              <w:tr2bl w:val="nil"/>
            </w:tcBorders>
            <w:vAlign w:val="center"/>
          </w:tcPr>
          <w:p/>
        </w:tc>
        <w:tc>
          <w:tcPr>
            <w:tcW w:w="993" w:type="dxa"/>
            <w:vMerge w:val="continue"/>
            <w:tcBorders>
              <w:tl2br w:val="nil"/>
              <w:tr2bl w:val="nil"/>
            </w:tcBorders>
            <w:vAlign w:val="center"/>
          </w:tcPr>
          <w:p/>
        </w:tc>
        <w:tc>
          <w:tcPr>
            <w:tcW w:w="2490" w:type="dxa"/>
            <w:vMerge w:val="continue"/>
            <w:tcBorders>
              <w:tl2br w:val="nil"/>
              <w:tr2bl w:val="nil"/>
            </w:tcBorders>
            <w:vAlign w:val="center"/>
          </w:tcPr>
          <w:p/>
        </w:tc>
        <w:tc>
          <w:tcPr>
            <w:tcW w:w="2762" w:type="dxa"/>
            <w:vMerge w:val="continue"/>
            <w:tcBorders>
              <w:tl2br w:val="nil"/>
              <w:tr2bl w:val="nil"/>
            </w:tcBorders>
            <w:vAlign w:val="center"/>
          </w:tcP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restart"/>
            <w:tcBorders>
              <w:tl2br w:val="nil"/>
              <w:tr2bl w:val="nil"/>
            </w:tcBorders>
            <w:vAlign w:val="bottom"/>
          </w:tcPr>
          <w:p>
            <w:pPr>
              <w:widowControl/>
              <w:adjustRightInd w:val="0"/>
              <w:snapToGrid w:val="0"/>
              <w:rPr>
                <w:rFonts w:ascii="方正书宋_GBK" w:eastAsia="方正书宋_GBK"/>
              </w:rPr>
            </w:pPr>
          </w:p>
          <w:p>
            <w:pPr>
              <w:adjustRightInd w:val="0"/>
              <w:snapToGrid w:val="0"/>
              <w:jc w:val="left"/>
              <w:rPr>
                <w:rFonts w:ascii="方正书宋_GBK" w:eastAsia="方正书宋_GBK"/>
              </w:rPr>
            </w:pPr>
            <w:r>
              <w:rPr>
                <w:rFonts w:ascii="方正书宋_GBK" w:eastAsia="方正书宋_GBK"/>
              </w:rPr>
              <w:t>部门产出</w:t>
            </w: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社区数量</w:t>
            </w:r>
          </w:p>
        </w:tc>
        <w:tc>
          <w:tcPr>
            <w:tcW w:w="2490" w:type="dxa"/>
            <w:tcBorders>
              <w:tl2br w:val="nil"/>
              <w:tr2bl w:val="nil"/>
            </w:tcBorders>
          </w:tcPr>
          <w:p>
            <w:pPr>
              <w:rPr>
                <w:rFonts w:ascii="宋体" w:hAnsi="宋体" w:cs="宋体"/>
                <w:sz w:val="18"/>
                <w:szCs w:val="18"/>
              </w:rPr>
            </w:pPr>
            <w:r>
              <w:rPr>
                <w:rFonts w:hint="eastAsia"/>
                <w:sz w:val="18"/>
                <w:szCs w:val="18"/>
              </w:rPr>
              <w:t>每未完成1个，减数量分值10%，低于7个得0分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完善社区服务设施建设、社区党员团队服务建设、解决居民的迫切需要、为居民提供服务、为物业公司进行补贴的社区数量</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11.00</w:t>
            </w:r>
          </w:p>
        </w:tc>
        <w:tc>
          <w:tcPr>
            <w:tcW w:w="850" w:type="dxa"/>
            <w:tcBorders>
              <w:tl2br w:val="nil"/>
              <w:tr2bl w:val="nil"/>
            </w:tcBorders>
            <w:vAlign w:val="center"/>
          </w:tcPr>
          <w:p>
            <w:pPr>
              <w:rPr>
                <w:rFonts w:ascii="宋体" w:hAnsi="宋体" w:cs="宋体"/>
                <w:sz w:val="18"/>
                <w:szCs w:val="18"/>
              </w:rPr>
            </w:pPr>
            <w:r>
              <w:rPr>
                <w:rFonts w:hint="eastAsia"/>
                <w:sz w:val="18"/>
                <w:szCs w:val="18"/>
              </w:rPr>
              <w:t>个</w:t>
            </w:r>
          </w:p>
        </w:tc>
        <w:tc>
          <w:tcPr>
            <w:tcW w:w="1742" w:type="dxa"/>
            <w:tcBorders>
              <w:tl2br w:val="nil"/>
              <w:tr2bl w:val="nil"/>
            </w:tcBorders>
            <w:vAlign w:val="center"/>
          </w:tcPr>
          <w:p>
            <w:pPr>
              <w:rPr>
                <w:rFonts w:ascii="宋体" w:hAnsi="宋体" w:cs="宋体"/>
                <w:sz w:val="18"/>
                <w:szCs w:val="18"/>
              </w:rPr>
            </w:pPr>
            <w:r>
              <w:rPr>
                <w:rFonts w:hint="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社区工作者人数</w:t>
            </w:r>
          </w:p>
        </w:tc>
        <w:tc>
          <w:tcPr>
            <w:tcW w:w="2490" w:type="dxa"/>
            <w:tcBorders>
              <w:tl2br w:val="nil"/>
              <w:tr2bl w:val="nil"/>
            </w:tcBorders>
          </w:tcPr>
          <w:p>
            <w:pPr>
              <w:rPr>
                <w:rFonts w:ascii="宋体" w:hAnsi="宋体" w:cs="宋体"/>
                <w:sz w:val="18"/>
                <w:szCs w:val="18"/>
              </w:rPr>
            </w:pPr>
            <w:r>
              <w:rPr>
                <w:rFonts w:hint="eastAsia"/>
                <w:sz w:val="18"/>
                <w:szCs w:val="18"/>
              </w:rPr>
              <w:t>每减少1人，减少数量分值10%，发放人数少于10人得0分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保证16名社区工作到岗工作</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16.00</w:t>
            </w:r>
          </w:p>
        </w:tc>
        <w:tc>
          <w:tcPr>
            <w:tcW w:w="850" w:type="dxa"/>
            <w:tcBorders>
              <w:tl2br w:val="nil"/>
              <w:tr2bl w:val="nil"/>
            </w:tcBorders>
            <w:vAlign w:val="center"/>
          </w:tcPr>
          <w:p>
            <w:pPr>
              <w:rPr>
                <w:rFonts w:ascii="宋体" w:hAnsi="宋体" w:cs="宋体"/>
                <w:sz w:val="18"/>
                <w:szCs w:val="18"/>
              </w:rPr>
            </w:pPr>
            <w:r>
              <w:rPr>
                <w:rFonts w:hint="eastAsia"/>
                <w:sz w:val="18"/>
                <w:szCs w:val="18"/>
              </w:rPr>
              <w:t>名</w:t>
            </w:r>
          </w:p>
        </w:tc>
        <w:tc>
          <w:tcPr>
            <w:tcW w:w="1742" w:type="dxa"/>
            <w:tcBorders>
              <w:tl2br w:val="nil"/>
              <w:tr2bl w:val="nil"/>
            </w:tcBorders>
            <w:vAlign w:val="center"/>
          </w:tcPr>
          <w:p>
            <w:pPr>
              <w:rPr>
                <w:rFonts w:ascii="宋体" w:hAnsi="宋体" w:cs="宋体"/>
                <w:sz w:val="18"/>
                <w:szCs w:val="18"/>
              </w:rPr>
            </w:pPr>
            <w:r>
              <w:rPr>
                <w:rFonts w:hint="eastAsia"/>
                <w:sz w:val="18"/>
                <w:szCs w:val="18"/>
              </w:rPr>
              <w:t>实际招聘人员数量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社区工作者人数</w:t>
            </w:r>
          </w:p>
        </w:tc>
        <w:tc>
          <w:tcPr>
            <w:tcW w:w="2490" w:type="dxa"/>
            <w:tcBorders>
              <w:tl2br w:val="nil"/>
              <w:tr2bl w:val="nil"/>
            </w:tcBorders>
          </w:tcPr>
          <w:p>
            <w:pPr>
              <w:rPr>
                <w:rFonts w:ascii="宋体" w:hAnsi="宋体" w:cs="宋体"/>
                <w:sz w:val="18"/>
                <w:szCs w:val="18"/>
              </w:rPr>
            </w:pPr>
            <w:r>
              <w:rPr>
                <w:rFonts w:hint="eastAsia"/>
                <w:sz w:val="18"/>
                <w:szCs w:val="18"/>
              </w:rPr>
              <w:t>每减少1人，减少数量分值10%，发放人数少于10人得0分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保证16名社区工作到岗工作</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16.00</w:t>
            </w:r>
          </w:p>
        </w:tc>
        <w:tc>
          <w:tcPr>
            <w:tcW w:w="850" w:type="dxa"/>
            <w:tcBorders>
              <w:tl2br w:val="nil"/>
              <w:tr2bl w:val="nil"/>
            </w:tcBorders>
            <w:vAlign w:val="center"/>
          </w:tcPr>
          <w:p>
            <w:pPr>
              <w:rPr>
                <w:rFonts w:ascii="宋体" w:hAnsi="宋体" w:cs="宋体"/>
                <w:sz w:val="18"/>
                <w:szCs w:val="18"/>
              </w:rPr>
            </w:pPr>
            <w:r>
              <w:rPr>
                <w:rFonts w:hint="eastAsia"/>
                <w:sz w:val="18"/>
                <w:szCs w:val="18"/>
              </w:rPr>
              <w:t>名</w:t>
            </w:r>
          </w:p>
        </w:tc>
        <w:tc>
          <w:tcPr>
            <w:tcW w:w="1742" w:type="dxa"/>
            <w:tcBorders>
              <w:tl2br w:val="nil"/>
              <w:tr2bl w:val="nil"/>
            </w:tcBorders>
            <w:vAlign w:val="center"/>
          </w:tcPr>
          <w:p>
            <w:pPr>
              <w:rPr>
                <w:rFonts w:ascii="宋体" w:hAnsi="宋体" w:cs="宋体"/>
                <w:sz w:val="18"/>
                <w:szCs w:val="18"/>
              </w:rPr>
            </w:pPr>
            <w:r>
              <w:rPr>
                <w:rFonts w:hint="eastAsia"/>
                <w:sz w:val="18"/>
                <w:szCs w:val="18"/>
              </w:rPr>
              <w:t>实际招聘人员数量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楼门栋长人数</w:t>
            </w:r>
          </w:p>
        </w:tc>
        <w:tc>
          <w:tcPr>
            <w:tcW w:w="2490" w:type="dxa"/>
            <w:tcBorders>
              <w:tl2br w:val="nil"/>
              <w:tr2bl w:val="nil"/>
            </w:tcBorders>
          </w:tcPr>
          <w:p>
            <w:pPr>
              <w:rPr>
                <w:rFonts w:ascii="宋体" w:hAnsi="宋体" w:cs="宋体"/>
                <w:sz w:val="18"/>
                <w:szCs w:val="18"/>
              </w:rPr>
            </w:pPr>
            <w:r>
              <w:rPr>
                <w:rFonts w:hint="eastAsia"/>
                <w:sz w:val="18"/>
                <w:szCs w:val="18"/>
              </w:rPr>
              <w:t>每减少1人，减少数量分值10%，发放人数少于300人得0分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保证355名人员到岗工作</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355.00</w:t>
            </w:r>
          </w:p>
        </w:tc>
        <w:tc>
          <w:tcPr>
            <w:tcW w:w="850" w:type="dxa"/>
            <w:tcBorders>
              <w:tl2br w:val="nil"/>
              <w:tr2bl w:val="nil"/>
            </w:tcBorders>
            <w:vAlign w:val="center"/>
          </w:tcPr>
          <w:p>
            <w:pPr>
              <w:rPr>
                <w:rFonts w:ascii="宋体" w:hAnsi="宋体" w:cs="宋体"/>
                <w:sz w:val="18"/>
                <w:szCs w:val="18"/>
              </w:rPr>
            </w:pPr>
            <w:r>
              <w:rPr>
                <w:rFonts w:hint="eastAsia"/>
                <w:sz w:val="18"/>
                <w:szCs w:val="18"/>
              </w:rPr>
              <w:t>名</w:t>
            </w:r>
          </w:p>
        </w:tc>
        <w:tc>
          <w:tcPr>
            <w:tcW w:w="1742" w:type="dxa"/>
            <w:tcBorders>
              <w:tl2br w:val="nil"/>
              <w:tr2bl w:val="nil"/>
            </w:tcBorders>
            <w:vAlign w:val="center"/>
          </w:tcPr>
          <w:p>
            <w:pPr>
              <w:rPr>
                <w:rFonts w:ascii="宋体" w:hAnsi="宋体" w:cs="宋体"/>
                <w:sz w:val="18"/>
                <w:szCs w:val="18"/>
              </w:rPr>
            </w:pPr>
            <w:r>
              <w:rPr>
                <w:rFonts w:hint="eastAsia"/>
                <w:sz w:val="18"/>
                <w:szCs w:val="18"/>
              </w:rPr>
              <w:t>现有355名楼门栋长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楼门栋长人数</w:t>
            </w:r>
          </w:p>
        </w:tc>
        <w:tc>
          <w:tcPr>
            <w:tcW w:w="2490" w:type="dxa"/>
            <w:tcBorders>
              <w:tl2br w:val="nil"/>
              <w:tr2bl w:val="nil"/>
            </w:tcBorders>
          </w:tcPr>
          <w:p>
            <w:pPr>
              <w:rPr>
                <w:rFonts w:ascii="宋体" w:hAnsi="宋体" w:cs="宋体"/>
                <w:sz w:val="18"/>
                <w:szCs w:val="18"/>
              </w:rPr>
            </w:pPr>
            <w:r>
              <w:rPr>
                <w:rFonts w:hint="eastAsia"/>
                <w:sz w:val="18"/>
                <w:szCs w:val="18"/>
              </w:rPr>
              <w:t>每减少1人，减少数量分值10%，发放人数少于300人得0分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保证355名人员到岗工作</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355.00</w:t>
            </w:r>
          </w:p>
        </w:tc>
        <w:tc>
          <w:tcPr>
            <w:tcW w:w="850" w:type="dxa"/>
            <w:tcBorders>
              <w:tl2br w:val="nil"/>
              <w:tr2bl w:val="nil"/>
            </w:tcBorders>
            <w:vAlign w:val="center"/>
          </w:tcPr>
          <w:p>
            <w:pPr>
              <w:rPr>
                <w:rFonts w:ascii="宋体" w:hAnsi="宋体" w:cs="宋体"/>
                <w:sz w:val="18"/>
                <w:szCs w:val="18"/>
              </w:rPr>
            </w:pPr>
            <w:r>
              <w:rPr>
                <w:rFonts w:hint="eastAsia"/>
                <w:sz w:val="18"/>
                <w:szCs w:val="18"/>
              </w:rPr>
              <w:t>名</w:t>
            </w:r>
          </w:p>
        </w:tc>
        <w:tc>
          <w:tcPr>
            <w:tcW w:w="1742" w:type="dxa"/>
            <w:tcBorders>
              <w:tl2br w:val="nil"/>
              <w:tr2bl w:val="nil"/>
            </w:tcBorders>
            <w:vAlign w:val="center"/>
          </w:tcPr>
          <w:p>
            <w:pPr>
              <w:rPr>
                <w:rFonts w:ascii="宋体" w:hAnsi="宋体" w:cs="宋体"/>
                <w:sz w:val="18"/>
                <w:szCs w:val="18"/>
              </w:rPr>
            </w:pPr>
            <w:r>
              <w:rPr>
                <w:rFonts w:hint="eastAsia"/>
                <w:sz w:val="18"/>
                <w:szCs w:val="18"/>
              </w:rPr>
              <w:t>现有355名楼门栋长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办证数量</w:t>
            </w:r>
          </w:p>
        </w:tc>
        <w:tc>
          <w:tcPr>
            <w:tcW w:w="2490" w:type="dxa"/>
            <w:tcBorders>
              <w:tl2br w:val="nil"/>
              <w:tr2bl w:val="nil"/>
            </w:tcBorders>
          </w:tcPr>
          <w:p>
            <w:pPr>
              <w:rPr>
                <w:rFonts w:ascii="宋体" w:hAnsi="宋体" w:cs="宋体"/>
                <w:sz w:val="18"/>
                <w:szCs w:val="18"/>
              </w:rPr>
            </w:pPr>
            <w:r>
              <w:rPr>
                <w:rFonts w:hint="eastAsia"/>
                <w:sz w:val="18"/>
                <w:szCs w:val="18"/>
              </w:rPr>
              <w:t>每未完成10%，减数量分值10%，低于60%得0分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办理各种证件的数量</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1000.00</w:t>
            </w:r>
          </w:p>
        </w:tc>
        <w:tc>
          <w:tcPr>
            <w:tcW w:w="850" w:type="dxa"/>
            <w:tcBorders>
              <w:tl2br w:val="nil"/>
              <w:tr2bl w:val="nil"/>
            </w:tcBorders>
            <w:vAlign w:val="center"/>
          </w:tcPr>
          <w:p>
            <w:pPr>
              <w:rPr>
                <w:rFonts w:ascii="宋体" w:hAnsi="宋体" w:cs="宋体"/>
                <w:sz w:val="18"/>
                <w:szCs w:val="18"/>
              </w:rPr>
            </w:pPr>
            <w:r>
              <w:rPr>
                <w:rFonts w:hint="eastAsia"/>
                <w:sz w:val="18"/>
                <w:szCs w:val="18"/>
              </w:rPr>
              <w:t>个</w:t>
            </w:r>
          </w:p>
        </w:tc>
        <w:tc>
          <w:tcPr>
            <w:tcW w:w="1742" w:type="dxa"/>
            <w:tcBorders>
              <w:tl2br w:val="nil"/>
              <w:tr2bl w:val="nil"/>
            </w:tcBorders>
            <w:vAlign w:val="center"/>
          </w:tcPr>
          <w:p>
            <w:pPr>
              <w:rPr>
                <w:rFonts w:ascii="宋体" w:hAnsi="宋体" w:cs="宋体"/>
                <w:sz w:val="18"/>
                <w:szCs w:val="18"/>
              </w:rPr>
            </w:pPr>
            <w:r>
              <w:rPr>
                <w:rFonts w:hint="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办证数量</w:t>
            </w:r>
          </w:p>
        </w:tc>
        <w:tc>
          <w:tcPr>
            <w:tcW w:w="2490" w:type="dxa"/>
            <w:tcBorders>
              <w:tl2br w:val="nil"/>
              <w:tr2bl w:val="nil"/>
            </w:tcBorders>
          </w:tcPr>
          <w:p>
            <w:pPr>
              <w:rPr>
                <w:rFonts w:ascii="宋体" w:hAnsi="宋体" w:cs="宋体"/>
                <w:sz w:val="18"/>
                <w:szCs w:val="18"/>
              </w:rPr>
            </w:pPr>
            <w:r>
              <w:rPr>
                <w:rFonts w:hint="eastAsia"/>
                <w:sz w:val="18"/>
                <w:szCs w:val="18"/>
              </w:rPr>
              <w:t>每未完成10%，减数量分值10%，低于60%得0分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办理各种证件的数量</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1000.00</w:t>
            </w:r>
          </w:p>
        </w:tc>
        <w:tc>
          <w:tcPr>
            <w:tcW w:w="850" w:type="dxa"/>
            <w:tcBorders>
              <w:tl2br w:val="nil"/>
              <w:tr2bl w:val="nil"/>
            </w:tcBorders>
            <w:vAlign w:val="center"/>
          </w:tcPr>
          <w:p>
            <w:pPr>
              <w:rPr>
                <w:rFonts w:ascii="宋体" w:hAnsi="宋体" w:cs="宋体"/>
                <w:sz w:val="18"/>
                <w:szCs w:val="18"/>
              </w:rPr>
            </w:pPr>
            <w:r>
              <w:rPr>
                <w:rFonts w:hint="eastAsia"/>
                <w:sz w:val="18"/>
                <w:szCs w:val="18"/>
              </w:rPr>
              <w:t>个</w:t>
            </w:r>
          </w:p>
        </w:tc>
        <w:tc>
          <w:tcPr>
            <w:tcW w:w="1742" w:type="dxa"/>
            <w:tcBorders>
              <w:tl2br w:val="nil"/>
              <w:tr2bl w:val="nil"/>
            </w:tcBorders>
            <w:vAlign w:val="center"/>
          </w:tcPr>
          <w:p>
            <w:pPr>
              <w:rPr>
                <w:rFonts w:ascii="宋体" w:hAnsi="宋体" w:cs="宋体"/>
                <w:sz w:val="18"/>
                <w:szCs w:val="18"/>
              </w:rPr>
            </w:pPr>
            <w:r>
              <w:rPr>
                <w:rFonts w:hint="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vAlign w:val="center"/>
          </w:tcPr>
          <w:p>
            <w:pPr>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采购物品合格率</w:t>
            </w:r>
          </w:p>
        </w:tc>
        <w:tc>
          <w:tcPr>
            <w:tcW w:w="2490" w:type="dxa"/>
            <w:tcBorders>
              <w:tl2br w:val="nil"/>
              <w:tr2bl w:val="nil"/>
            </w:tcBorders>
          </w:tcPr>
          <w:p>
            <w:pPr>
              <w:rPr>
                <w:rFonts w:ascii="宋体" w:hAnsi="宋体" w:cs="宋体"/>
                <w:sz w:val="18"/>
                <w:szCs w:val="18"/>
              </w:rPr>
            </w:pPr>
            <w:r>
              <w:rPr>
                <w:rFonts w:hint="eastAsia"/>
                <w:sz w:val="18"/>
                <w:szCs w:val="18"/>
              </w:rPr>
              <w:t>合格率每下降5%，减指标分值5%，合格率低于60%得0分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活动物品通过验收的数量与总数量的比例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0" w:type="dxa"/>
            <w:vMerge w:val="continue"/>
            <w:tcBorders>
              <w:tl2br w:val="nil"/>
              <w:tr2bl w:val="nil"/>
            </w:tcBorders>
          </w:tcPr>
          <w:p>
            <w:pPr>
              <w:widowControl/>
              <w:adjustRightInd w:val="0"/>
              <w:snapToGrid w:val="0"/>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93" w:type="dxa"/>
            <w:tcBorders>
              <w:tl2br w:val="nil"/>
              <w:tr2bl w:val="nil"/>
            </w:tcBorders>
            <w:vAlign w:val="center"/>
          </w:tcPr>
          <w:p>
            <w:pPr>
              <w:rPr>
                <w:rFonts w:ascii="宋体" w:hAnsi="宋体" w:cs="宋体"/>
                <w:sz w:val="18"/>
                <w:szCs w:val="18"/>
              </w:rPr>
            </w:pPr>
            <w:r>
              <w:rPr>
                <w:rFonts w:hint="eastAsia"/>
                <w:sz w:val="18"/>
                <w:szCs w:val="18"/>
              </w:rPr>
              <w:t>采购物品合格率</w:t>
            </w:r>
          </w:p>
        </w:tc>
        <w:tc>
          <w:tcPr>
            <w:tcW w:w="2490" w:type="dxa"/>
            <w:tcBorders>
              <w:tl2br w:val="nil"/>
              <w:tr2bl w:val="nil"/>
            </w:tcBorders>
          </w:tcPr>
          <w:p>
            <w:pPr>
              <w:rPr>
                <w:rFonts w:ascii="宋体" w:hAnsi="宋体" w:cs="宋体"/>
                <w:sz w:val="18"/>
                <w:szCs w:val="18"/>
              </w:rPr>
            </w:pPr>
            <w:r>
              <w:rPr>
                <w:rFonts w:hint="eastAsia"/>
                <w:sz w:val="18"/>
                <w:szCs w:val="18"/>
              </w:rPr>
              <w:t>合格率每下降5%，减指标分值5%，合格率低于60%得0分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活动物品通过验收的数量与总数量的比例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基础设施完好率</w:t>
            </w:r>
          </w:p>
        </w:tc>
        <w:tc>
          <w:tcPr>
            <w:tcW w:w="2490" w:type="dxa"/>
            <w:tcBorders>
              <w:tl2br w:val="nil"/>
              <w:tr2bl w:val="nil"/>
            </w:tcBorders>
          </w:tcPr>
          <w:p>
            <w:pPr>
              <w:rPr>
                <w:rFonts w:ascii="宋体" w:hAnsi="宋体" w:cs="宋体"/>
                <w:sz w:val="18"/>
                <w:szCs w:val="18"/>
              </w:rPr>
            </w:pPr>
            <w:r>
              <w:rPr>
                <w:rFonts w:hint="eastAsia"/>
                <w:sz w:val="18"/>
                <w:szCs w:val="18"/>
              </w:rPr>
              <w:t>基础设施完好率每下降5%，减指标分值5%，完好率低于60%得0分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老旧小区改造后，基础设施完好数量与总数量的比例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98.00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办理证件合格率</w:t>
            </w:r>
          </w:p>
        </w:tc>
        <w:tc>
          <w:tcPr>
            <w:tcW w:w="2490" w:type="dxa"/>
            <w:tcBorders>
              <w:tl2br w:val="nil"/>
              <w:tr2bl w:val="nil"/>
            </w:tcBorders>
          </w:tcPr>
          <w:p>
            <w:pPr>
              <w:rPr>
                <w:rFonts w:ascii="宋体" w:hAnsi="宋体" w:cs="宋体"/>
                <w:sz w:val="18"/>
                <w:szCs w:val="18"/>
              </w:rPr>
            </w:pPr>
            <w:r>
              <w:rPr>
                <w:rFonts w:hint="eastAsia"/>
                <w:sz w:val="18"/>
                <w:szCs w:val="18"/>
              </w:rPr>
              <w:t>合格率每下降5%，减指标分值5%，合格率低于60%得0分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办理证件合格的数量与全部数量的比例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社区覆盖率</w:t>
            </w:r>
          </w:p>
        </w:tc>
        <w:tc>
          <w:tcPr>
            <w:tcW w:w="2490" w:type="dxa"/>
            <w:tcBorders>
              <w:tl2br w:val="nil"/>
              <w:tr2bl w:val="nil"/>
            </w:tcBorders>
          </w:tcPr>
          <w:p>
            <w:pPr>
              <w:rPr>
                <w:rFonts w:ascii="宋体" w:hAnsi="宋体" w:cs="宋体"/>
                <w:sz w:val="18"/>
                <w:szCs w:val="18"/>
              </w:rPr>
            </w:pPr>
            <w:r>
              <w:rPr>
                <w:rFonts w:hint="eastAsia"/>
                <w:sz w:val="18"/>
                <w:szCs w:val="18"/>
              </w:rPr>
              <w:t>覆盖率每下降5%，减指标分值5%，覆盖率低于60%得0分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用于居委会的日常办公费用涉及社区数量与总社区数量的比例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服务到位率</w:t>
            </w:r>
          </w:p>
        </w:tc>
        <w:tc>
          <w:tcPr>
            <w:tcW w:w="2490" w:type="dxa"/>
            <w:tcBorders>
              <w:tl2br w:val="nil"/>
              <w:tr2bl w:val="nil"/>
            </w:tcBorders>
          </w:tcPr>
          <w:p>
            <w:pPr>
              <w:rPr>
                <w:rFonts w:ascii="宋体" w:hAnsi="宋体" w:cs="宋体"/>
                <w:sz w:val="18"/>
                <w:szCs w:val="18"/>
              </w:rPr>
            </w:pPr>
            <w:r>
              <w:rPr>
                <w:rFonts w:hint="eastAsia"/>
                <w:sz w:val="18"/>
                <w:szCs w:val="18"/>
              </w:rPr>
              <w:t>服务到位率每下降10%，减质量分值10%，服务到位率低于60%得0分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服务到位的工作量与应服务到位工作总量的比例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涉稳舆情处置率(%)</w:t>
            </w:r>
          </w:p>
        </w:tc>
        <w:tc>
          <w:tcPr>
            <w:tcW w:w="2490" w:type="dxa"/>
            <w:tcBorders>
              <w:tl2br w:val="nil"/>
              <w:tr2bl w:val="nil"/>
            </w:tcBorders>
          </w:tcPr>
          <w:p>
            <w:pPr>
              <w:rPr>
                <w:rFonts w:ascii="宋体" w:hAnsi="宋体" w:cs="宋体"/>
                <w:sz w:val="18"/>
                <w:szCs w:val="18"/>
              </w:rPr>
            </w:pPr>
            <w:r>
              <w:rPr>
                <w:rFonts w:hint="eastAsia"/>
                <w:sz w:val="18"/>
                <w:szCs w:val="18"/>
              </w:rPr>
              <w:t>工作完成率率每下降10%，减质量分值10%，低于70得0分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处置的涉稳舆情数占涉稳网络舆情总数的比率</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维稳工作的要求及完成标准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办理证件合格率</w:t>
            </w:r>
          </w:p>
        </w:tc>
        <w:tc>
          <w:tcPr>
            <w:tcW w:w="2490" w:type="dxa"/>
            <w:tcBorders>
              <w:tl2br w:val="nil"/>
              <w:tr2bl w:val="nil"/>
            </w:tcBorders>
          </w:tcPr>
          <w:p>
            <w:pPr>
              <w:rPr>
                <w:rFonts w:ascii="宋体" w:hAnsi="宋体" w:cs="宋体"/>
                <w:sz w:val="18"/>
                <w:szCs w:val="18"/>
              </w:rPr>
            </w:pPr>
            <w:r>
              <w:rPr>
                <w:rFonts w:hint="eastAsia"/>
                <w:sz w:val="18"/>
                <w:szCs w:val="18"/>
              </w:rPr>
              <w:t>合格率每下降5%，减指标分值5%，合格率低于60%得0分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办理证件合格的数量与全部数量的比例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社区覆盖率</w:t>
            </w:r>
          </w:p>
        </w:tc>
        <w:tc>
          <w:tcPr>
            <w:tcW w:w="2490" w:type="dxa"/>
            <w:tcBorders>
              <w:tl2br w:val="nil"/>
              <w:tr2bl w:val="nil"/>
            </w:tcBorders>
          </w:tcPr>
          <w:p>
            <w:pPr>
              <w:rPr>
                <w:rFonts w:ascii="宋体" w:hAnsi="宋体" w:cs="宋体"/>
                <w:sz w:val="18"/>
                <w:szCs w:val="18"/>
              </w:rPr>
            </w:pPr>
            <w:r>
              <w:rPr>
                <w:rFonts w:hint="eastAsia"/>
                <w:sz w:val="18"/>
                <w:szCs w:val="18"/>
              </w:rPr>
              <w:t>覆盖率每下降5%，减指标分值5%，覆盖率低于60%得0分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用于居委会的日常办公费用涉及社区数量与总社区数量的比例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93" w:type="dxa"/>
            <w:tcBorders>
              <w:tl2br w:val="nil"/>
              <w:tr2bl w:val="nil"/>
            </w:tcBorders>
            <w:vAlign w:val="center"/>
          </w:tcPr>
          <w:p>
            <w:pPr>
              <w:rPr>
                <w:rFonts w:ascii="宋体" w:hAnsi="宋体" w:cs="宋体"/>
                <w:sz w:val="18"/>
                <w:szCs w:val="18"/>
              </w:rPr>
            </w:pPr>
            <w:r>
              <w:rPr>
                <w:rFonts w:hint="eastAsia"/>
                <w:sz w:val="18"/>
                <w:szCs w:val="18"/>
              </w:rPr>
              <w:t>服务到位率</w:t>
            </w:r>
          </w:p>
        </w:tc>
        <w:tc>
          <w:tcPr>
            <w:tcW w:w="2490" w:type="dxa"/>
            <w:tcBorders>
              <w:tl2br w:val="nil"/>
              <w:tr2bl w:val="nil"/>
            </w:tcBorders>
          </w:tcPr>
          <w:p>
            <w:pPr>
              <w:rPr>
                <w:rFonts w:ascii="宋体" w:hAnsi="宋体" w:cs="宋体"/>
                <w:sz w:val="18"/>
                <w:szCs w:val="18"/>
              </w:rPr>
            </w:pPr>
            <w:r>
              <w:rPr>
                <w:rFonts w:hint="eastAsia"/>
                <w:sz w:val="18"/>
                <w:szCs w:val="18"/>
              </w:rPr>
              <w:t>服务到位率每下降10%，减质量分值10%，服务到位率低于60%得0分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服务到位的工作量与应服务到位工作总量的比例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993" w:type="dxa"/>
            <w:tcBorders>
              <w:tl2br w:val="nil"/>
              <w:tr2bl w:val="nil"/>
            </w:tcBorders>
            <w:vAlign w:val="center"/>
          </w:tcPr>
          <w:p>
            <w:pPr>
              <w:rPr>
                <w:rFonts w:ascii="宋体" w:hAnsi="宋体" w:cs="宋体"/>
                <w:sz w:val="18"/>
                <w:szCs w:val="18"/>
              </w:rPr>
            </w:pPr>
            <w:r>
              <w:rPr>
                <w:rFonts w:hint="eastAsia"/>
                <w:sz w:val="18"/>
                <w:szCs w:val="18"/>
              </w:rPr>
              <w:t>社区服务工作及时性</w:t>
            </w:r>
          </w:p>
        </w:tc>
        <w:tc>
          <w:tcPr>
            <w:tcW w:w="2490" w:type="dxa"/>
            <w:tcBorders>
              <w:tl2br w:val="nil"/>
              <w:tr2bl w:val="nil"/>
            </w:tcBorders>
            <w:vAlign w:val="center"/>
          </w:tcPr>
          <w:p>
            <w:pPr>
              <w:rPr>
                <w:rFonts w:ascii="宋体" w:hAnsi="宋体" w:cs="宋体"/>
                <w:sz w:val="18"/>
                <w:szCs w:val="18"/>
              </w:rPr>
            </w:pPr>
            <w:r>
              <w:rPr>
                <w:rFonts w:hint="eastAsia"/>
                <w:sz w:val="18"/>
                <w:szCs w:val="18"/>
              </w:rPr>
              <w:t>每延期一天减时效分值1%，延期超过50%得0分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为社区服务工作在规定时间内完成</w:t>
            </w:r>
          </w:p>
          <w:p>
            <w:pPr>
              <w:widowControl/>
              <w:adjustRightInd w:val="0"/>
              <w:snapToGrid w:val="0"/>
              <w:rPr>
                <w:rFonts w:ascii="方正书宋_GBK" w:eastAsia="方正书宋_GBK"/>
              </w:rPr>
            </w:pPr>
          </w:p>
        </w:tc>
        <w:tc>
          <w:tcPr>
            <w:tcW w:w="850" w:type="dxa"/>
            <w:tcBorders>
              <w:tl2br w:val="nil"/>
              <w:tr2bl w:val="nil"/>
            </w:tcBorders>
            <w:vAlign w:val="center"/>
          </w:tcPr>
          <w:p>
            <w:pPr>
              <w:jc w:val="left"/>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及时</w:t>
            </w:r>
          </w:p>
        </w:tc>
        <w:tc>
          <w:tcPr>
            <w:tcW w:w="1742" w:type="dxa"/>
            <w:tcBorders>
              <w:tl2br w:val="nil"/>
              <w:tr2bl w:val="nil"/>
            </w:tcBorders>
            <w:vAlign w:val="center"/>
          </w:tcPr>
          <w:p>
            <w:pPr>
              <w:rPr>
                <w:rFonts w:ascii="宋体" w:hAnsi="宋体" w:cs="宋体"/>
                <w:sz w:val="18"/>
                <w:szCs w:val="18"/>
              </w:rPr>
            </w:pPr>
            <w:r>
              <w:rPr>
                <w:rFonts w:hint="eastAsia"/>
                <w:sz w:val="18"/>
                <w:szCs w:val="18"/>
              </w:rPr>
              <w:t>合同、工作计划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993" w:type="dxa"/>
            <w:tcBorders>
              <w:tl2br w:val="nil"/>
              <w:tr2bl w:val="nil"/>
            </w:tcBorders>
            <w:vAlign w:val="center"/>
          </w:tcPr>
          <w:p>
            <w:pPr>
              <w:rPr>
                <w:rFonts w:ascii="宋体" w:hAnsi="宋体" w:cs="宋体"/>
                <w:sz w:val="18"/>
                <w:szCs w:val="18"/>
              </w:rPr>
            </w:pPr>
            <w:r>
              <w:rPr>
                <w:rFonts w:hint="eastAsia"/>
                <w:sz w:val="18"/>
                <w:szCs w:val="18"/>
              </w:rPr>
              <w:t>平均成本</w:t>
            </w:r>
          </w:p>
        </w:tc>
        <w:tc>
          <w:tcPr>
            <w:tcW w:w="2490" w:type="dxa"/>
            <w:tcBorders>
              <w:tl2br w:val="nil"/>
              <w:tr2bl w:val="nil"/>
            </w:tcBorders>
            <w:vAlign w:val="center"/>
          </w:tcPr>
          <w:p>
            <w:pPr>
              <w:rPr>
                <w:rFonts w:ascii="宋体" w:hAnsi="宋体" w:cs="宋体"/>
                <w:sz w:val="18"/>
                <w:szCs w:val="18"/>
              </w:rPr>
            </w:pPr>
            <w:r>
              <w:rPr>
                <w:rFonts w:hint="eastAsia"/>
                <w:sz w:val="18"/>
                <w:szCs w:val="18"/>
              </w:rPr>
              <w:t>单位成本每偏离指标值1%，减成本分值10%，偏离超过10%得0分</w:t>
            </w:r>
          </w:p>
        </w:tc>
        <w:tc>
          <w:tcPr>
            <w:tcW w:w="2762"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每月完成工作需要的成本</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216.00</w:t>
            </w:r>
          </w:p>
        </w:tc>
        <w:tc>
          <w:tcPr>
            <w:tcW w:w="850" w:type="dxa"/>
            <w:tcBorders>
              <w:tl2br w:val="nil"/>
              <w:tr2bl w:val="nil"/>
            </w:tcBorders>
            <w:vAlign w:val="center"/>
          </w:tcPr>
          <w:p>
            <w:pPr>
              <w:rPr>
                <w:rFonts w:ascii="宋体" w:hAnsi="宋体" w:cs="宋体"/>
                <w:sz w:val="18"/>
                <w:szCs w:val="18"/>
              </w:rPr>
            </w:pPr>
            <w:r>
              <w:rPr>
                <w:rFonts w:hint="eastAsia"/>
                <w:sz w:val="18"/>
                <w:szCs w:val="18"/>
              </w:rPr>
              <w:t>万元</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可持续影响</w:t>
            </w:r>
          </w:p>
        </w:tc>
        <w:tc>
          <w:tcPr>
            <w:tcW w:w="993" w:type="dxa"/>
            <w:tcBorders>
              <w:tl2br w:val="nil"/>
              <w:tr2bl w:val="nil"/>
            </w:tcBorders>
            <w:vAlign w:val="center"/>
          </w:tcPr>
          <w:p>
            <w:pPr>
              <w:rPr>
                <w:rFonts w:ascii="宋体" w:hAnsi="宋体" w:cs="宋体"/>
                <w:sz w:val="18"/>
                <w:szCs w:val="18"/>
              </w:rPr>
            </w:pPr>
            <w:r>
              <w:rPr>
                <w:rFonts w:hint="eastAsia"/>
                <w:sz w:val="18"/>
                <w:szCs w:val="18"/>
              </w:rPr>
              <w:t>参训人员管理能力提升</w:t>
            </w:r>
          </w:p>
        </w:tc>
        <w:tc>
          <w:tcPr>
            <w:tcW w:w="2490" w:type="dxa"/>
            <w:tcBorders>
              <w:tl2br w:val="nil"/>
              <w:tr2bl w:val="nil"/>
            </w:tcBorders>
          </w:tcPr>
          <w:p>
            <w:pPr>
              <w:rPr>
                <w:rFonts w:ascii="宋体" w:hAnsi="宋体" w:cs="宋体"/>
                <w:sz w:val="18"/>
                <w:szCs w:val="18"/>
              </w:rPr>
            </w:pPr>
            <w:r>
              <w:rPr>
                <w:rFonts w:hint="eastAsia"/>
                <w:sz w:val="18"/>
                <w:szCs w:val="18"/>
              </w:rPr>
              <w:t>效率提升显著得满分，效率提升一般得50%，效率提升不显著得0分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提高工作水平，维护职工权益，为正常工作提供保障。</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显著</w:t>
            </w:r>
          </w:p>
        </w:tc>
        <w:tc>
          <w:tcPr>
            <w:tcW w:w="1742" w:type="dxa"/>
            <w:tcBorders>
              <w:tl2br w:val="nil"/>
              <w:tr2bl w:val="nil"/>
            </w:tcBorders>
            <w:vAlign w:val="center"/>
          </w:tcPr>
          <w:p>
            <w:pPr>
              <w:rPr>
                <w:rFonts w:ascii="宋体" w:hAnsi="宋体" w:cs="宋体"/>
                <w:sz w:val="18"/>
                <w:szCs w:val="18"/>
              </w:rPr>
            </w:pPr>
            <w:r>
              <w:rPr>
                <w:rFonts w:hint="eastAsia"/>
                <w:sz w:val="18"/>
                <w:szCs w:val="18"/>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可持续影响</w:t>
            </w:r>
          </w:p>
        </w:tc>
        <w:tc>
          <w:tcPr>
            <w:tcW w:w="993" w:type="dxa"/>
            <w:tcBorders>
              <w:tl2br w:val="nil"/>
              <w:tr2bl w:val="nil"/>
            </w:tcBorders>
            <w:vAlign w:val="center"/>
          </w:tcPr>
          <w:p>
            <w:pPr>
              <w:rPr>
                <w:rFonts w:ascii="宋体" w:hAnsi="宋体" w:cs="宋体"/>
                <w:sz w:val="18"/>
                <w:szCs w:val="18"/>
              </w:rPr>
            </w:pPr>
            <w:r>
              <w:rPr>
                <w:rFonts w:hint="eastAsia"/>
                <w:sz w:val="18"/>
                <w:szCs w:val="18"/>
              </w:rPr>
              <w:t>推动社区工作顺利开展</w:t>
            </w:r>
          </w:p>
        </w:tc>
        <w:tc>
          <w:tcPr>
            <w:tcW w:w="2490" w:type="dxa"/>
            <w:tcBorders>
              <w:tl2br w:val="nil"/>
              <w:tr2bl w:val="nil"/>
            </w:tcBorders>
          </w:tcPr>
          <w:p>
            <w:pPr>
              <w:rPr>
                <w:rFonts w:ascii="宋体" w:hAnsi="宋体" w:cs="宋体"/>
                <w:sz w:val="18"/>
                <w:szCs w:val="18"/>
              </w:rPr>
            </w:pPr>
            <w:r>
              <w:rPr>
                <w:rFonts w:hint="eastAsia"/>
                <w:sz w:val="18"/>
                <w:szCs w:val="18"/>
              </w:rPr>
              <w:t>效果显著得满分，效果一般得50%，没有效果得0分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让大众了解街道、社区工作，增加居民对街道、社区工作的支持率。推动社区工作顺利开展</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显著</w:t>
            </w:r>
          </w:p>
        </w:tc>
        <w:tc>
          <w:tcPr>
            <w:tcW w:w="1742" w:type="dxa"/>
            <w:tcBorders>
              <w:tl2br w:val="nil"/>
              <w:tr2bl w:val="nil"/>
            </w:tcBorders>
            <w:vAlign w:val="center"/>
          </w:tcPr>
          <w:p>
            <w:pPr>
              <w:rPr>
                <w:rFonts w:ascii="宋体" w:hAnsi="宋体" w:cs="宋体"/>
                <w:sz w:val="18"/>
                <w:szCs w:val="18"/>
              </w:rPr>
            </w:pPr>
            <w:r>
              <w:rPr>
                <w:rFonts w:hint="eastAsia"/>
                <w:sz w:val="18"/>
                <w:szCs w:val="18"/>
              </w:rPr>
              <w:t>居民反馈结果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可持续影响</w:t>
            </w:r>
          </w:p>
        </w:tc>
        <w:tc>
          <w:tcPr>
            <w:tcW w:w="993" w:type="dxa"/>
            <w:tcBorders>
              <w:tl2br w:val="nil"/>
              <w:tr2bl w:val="nil"/>
            </w:tcBorders>
            <w:vAlign w:val="center"/>
          </w:tcPr>
          <w:p>
            <w:pPr>
              <w:rPr>
                <w:rFonts w:ascii="宋体" w:hAnsi="宋体" w:cs="宋体"/>
                <w:sz w:val="18"/>
                <w:szCs w:val="18"/>
              </w:rPr>
            </w:pPr>
            <w:r>
              <w:rPr>
                <w:rFonts w:hint="eastAsia"/>
                <w:sz w:val="18"/>
                <w:szCs w:val="18"/>
              </w:rPr>
              <w:t>参训人员管理能力提升</w:t>
            </w:r>
          </w:p>
        </w:tc>
        <w:tc>
          <w:tcPr>
            <w:tcW w:w="2490" w:type="dxa"/>
            <w:tcBorders>
              <w:tl2br w:val="nil"/>
              <w:tr2bl w:val="nil"/>
            </w:tcBorders>
          </w:tcPr>
          <w:p>
            <w:pPr>
              <w:rPr>
                <w:rFonts w:ascii="宋体" w:hAnsi="宋体" w:cs="宋体"/>
                <w:sz w:val="18"/>
                <w:szCs w:val="18"/>
              </w:rPr>
            </w:pPr>
            <w:r>
              <w:rPr>
                <w:rFonts w:hint="eastAsia"/>
                <w:sz w:val="18"/>
                <w:szCs w:val="18"/>
              </w:rPr>
              <w:t>效率提升显著得满分，效率提升一般得50%，效率提升不显著得0分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提高工作水平，维护职工权益，为正常工作提供保障。</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显著</w:t>
            </w:r>
          </w:p>
        </w:tc>
        <w:tc>
          <w:tcPr>
            <w:tcW w:w="1742" w:type="dxa"/>
            <w:tcBorders>
              <w:tl2br w:val="nil"/>
              <w:tr2bl w:val="nil"/>
            </w:tcBorders>
            <w:vAlign w:val="center"/>
          </w:tcPr>
          <w:p>
            <w:pPr>
              <w:rPr>
                <w:rFonts w:ascii="宋体" w:hAnsi="宋体" w:cs="宋体"/>
                <w:sz w:val="18"/>
                <w:szCs w:val="18"/>
              </w:rPr>
            </w:pPr>
            <w:r>
              <w:rPr>
                <w:rFonts w:hint="eastAsia"/>
                <w:sz w:val="18"/>
                <w:szCs w:val="18"/>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改善小区居民出行情况</w:t>
            </w:r>
          </w:p>
        </w:tc>
        <w:tc>
          <w:tcPr>
            <w:tcW w:w="2490" w:type="dxa"/>
            <w:tcBorders>
              <w:tl2br w:val="nil"/>
              <w:tr2bl w:val="nil"/>
            </w:tcBorders>
          </w:tcPr>
          <w:p>
            <w:pPr>
              <w:rPr>
                <w:rFonts w:ascii="宋体" w:hAnsi="宋体" w:cs="宋体"/>
                <w:sz w:val="18"/>
                <w:szCs w:val="18"/>
              </w:rPr>
            </w:pPr>
            <w:r>
              <w:rPr>
                <w:rFonts w:hint="eastAsia"/>
                <w:sz w:val="18"/>
                <w:szCs w:val="18"/>
              </w:rPr>
              <w:t>效果显著得满分，效果一般得指标分值50%，无效果得0分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修缮后，改善小区居民出行情况</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效果显著</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计生知识宣传覆盖率</w:t>
            </w:r>
          </w:p>
        </w:tc>
        <w:tc>
          <w:tcPr>
            <w:tcW w:w="2490" w:type="dxa"/>
            <w:tcBorders>
              <w:tl2br w:val="nil"/>
              <w:tr2bl w:val="nil"/>
            </w:tcBorders>
          </w:tcPr>
          <w:p>
            <w:pPr>
              <w:rPr>
                <w:rFonts w:ascii="宋体" w:hAnsi="宋体" w:cs="宋体"/>
                <w:sz w:val="18"/>
                <w:szCs w:val="18"/>
              </w:rPr>
            </w:pPr>
            <w:r>
              <w:rPr>
                <w:rFonts w:hint="eastAsia"/>
                <w:sz w:val="18"/>
                <w:szCs w:val="18"/>
              </w:rPr>
              <w:t>覆盖率每下降10%，减社会效益分值10%，覆盖率低于60%得0分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活动小区关于计生知识的覆盖率</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群众问题处理率</w:t>
            </w:r>
          </w:p>
        </w:tc>
        <w:tc>
          <w:tcPr>
            <w:tcW w:w="2490" w:type="dxa"/>
            <w:tcBorders>
              <w:tl2br w:val="nil"/>
              <w:tr2bl w:val="nil"/>
            </w:tcBorders>
          </w:tcPr>
          <w:p>
            <w:pPr>
              <w:rPr>
                <w:rFonts w:ascii="宋体" w:hAnsi="宋体" w:cs="宋体"/>
                <w:sz w:val="18"/>
                <w:szCs w:val="18"/>
              </w:rPr>
            </w:pPr>
            <w:r>
              <w:rPr>
                <w:rFonts w:hint="eastAsia"/>
                <w:sz w:val="18"/>
                <w:szCs w:val="18"/>
              </w:rPr>
              <w:t>解决问题反应率每下降10%，减社会效益分值10%，低于60%得0分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解决群众反映问题与全部群众反映问题数的比例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社区台账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正常工作开展率</w:t>
            </w:r>
          </w:p>
        </w:tc>
        <w:tc>
          <w:tcPr>
            <w:tcW w:w="2490" w:type="dxa"/>
            <w:tcBorders>
              <w:tl2br w:val="nil"/>
              <w:tr2bl w:val="nil"/>
            </w:tcBorders>
          </w:tcPr>
          <w:p>
            <w:pPr>
              <w:rPr>
                <w:rFonts w:ascii="宋体" w:hAnsi="宋体" w:cs="宋体"/>
                <w:sz w:val="18"/>
                <w:szCs w:val="18"/>
              </w:rPr>
            </w:pPr>
            <w:r>
              <w:rPr>
                <w:rFonts w:hint="eastAsia"/>
                <w:sz w:val="18"/>
                <w:szCs w:val="18"/>
              </w:rPr>
              <w:t>工作开展率每下降10%，减社会效益分值10%，低于60%得0分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正常工作开展天数占总天数的比率</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提高工作效率</w:t>
            </w:r>
          </w:p>
        </w:tc>
        <w:tc>
          <w:tcPr>
            <w:tcW w:w="2490" w:type="dxa"/>
            <w:tcBorders>
              <w:tl2br w:val="nil"/>
              <w:tr2bl w:val="nil"/>
            </w:tcBorders>
          </w:tcPr>
          <w:p>
            <w:pPr>
              <w:rPr>
                <w:rFonts w:ascii="宋体" w:hAnsi="宋体" w:cs="宋体"/>
                <w:sz w:val="18"/>
                <w:szCs w:val="18"/>
              </w:rPr>
            </w:pPr>
            <w:r>
              <w:rPr>
                <w:rFonts w:hint="eastAsia"/>
                <w:sz w:val="18"/>
                <w:szCs w:val="18"/>
              </w:rPr>
              <w:t>明显提升得满分，提升效果一般得指标分值50%，未提升得0分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为居民提供服务，提高工作效率</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明显提升</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pPr>
              <w:adjustRightInd w:val="0"/>
              <w:snapToGrid w:val="0"/>
              <w:jc w:val="center"/>
              <w:rPr>
                <w:rFonts w:ascii="方正书宋_GBK" w:eastAsia="方正书宋_GBK"/>
              </w:rPr>
            </w:p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计生知识宣传覆盖率</w:t>
            </w:r>
          </w:p>
        </w:tc>
        <w:tc>
          <w:tcPr>
            <w:tcW w:w="2490" w:type="dxa"/>
            <w:tcBorders>
              <w:tl2br w:val="nil"/>
              <w:tr2bl w:val="nil"/>
            </w:tcBorders>
          </w:tcPr>
          <w:p>
            <w:pPr>
              <w:rPr>
                <w:rFonts w:ascii="宋体" w:hAnsi="宋体" w:cs="宋体"/>
                <w:sz w:val="18"/>
                <w:szCs w:val="18"/>
              </w:rPr>
            </w:pPr>
            <w:r>
              <w:rPr>
                <w:rFonts w:hint="eastAsia"/>
                <w:sz w:val="18"/>
                <w:szCs w:val="18"/>
              </w:rPr>
              <w:t>覆盖率每下降10%，减社会效益分值10%，覆盖率低于60%得0分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活动小区关于计生知识的覆盖率</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群众问题处理率</w:t>
            </w:r>
          </w:p>
        </w:tc>
        <w:tc>
          <w:tcPr>
            <w:tcW w:w="2490" w:type="dxa"/>
            <w:tcBorders>
              <w:tl2br w:val="nil"/>
              <w:tr2bl w:val="nil"/>
            </w:tcBorders>
          </w:tcPr>
          <w:p>
            <w:pPr>
              <w:rPr>
                <w:rFonts w:ascii="宋体" w:hAnsi="宋体" w:cs="宋体"/>
                <w:sz w:val="18"/>
                <w:szCs w:val="18"/>
              </w:rPr>
            </w:pPr>
            <w:r>
              <w:rPr>
                <w:rFonts w:hint="eastAsia"/>
                <w:sz w:val="18"/>
                <w:szCs w:val="18"/>
              </w:rPr>
              <w:t>解决问题反应率每下降10%，减社会效益分值10%，低于60%得0分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解决群众反映问题与全部群众反映问题数的比例</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社区台账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vAlign w:val="center"/>
          </w:tcPr>
          <w:p>
            <w:pPr>
              <w:rPr>
                <w:rFonts w:ascii="宋体" w:hAnsi="宋体" w:cs="宋体"/>
                <w:sz w:val="18"/>
                <w:szCs w:val="18"/>
              </w:rPr>
            </w:pPr>
            <w:r>
              <w:rPr>
                <w:rFonts w:hint="eastAsia"/>
                <w:sz w:val="18"/>
                <w:szCs w:val="18"/>
              </w:rPr>
              <w:t>正常工作开展率</w:t>
            </w:r>
          </w:p>
        </w:tc>
        <w:tc>
          <w:tcPr>
            <w:tcW w:w="2490" w:type="dxa"/>
            <w:tcBorders>
              <w:tl2br w:val="nil"/>
              <w:tr2bl w:val="nil"/>
            </w:tcBorders>
          </w:tcPr>
          <w:p>
            <w:pPr>
              <w:rPr>
                <w:rFonts w:ascii="宋体" w:hAnsi="宋体" w:cs="宋体"/>
                <w:sz w:val="18"/>
                <w:szCs w:val="18"/>
              </w:rPr>
            </w:pPr>
            <w:r>
              <w:rPr>
                <w:rFonts w:hint="eastAsia"/>
                <w:sz w:val="18"/>
                <w:szCs w:val="18"/>
              </w:rPr>
              <w:t>工作开展率每下降10%，减社会效益分值10%，低于60%得0分</w:t>
            </w:r>
          </w:p>
        </w:tc>
        <w:tc>
          <w:tcPr>
            <w:tcW w:w="2762" w:type="dxa"/>
            <w:tcBorders>
              <w:tl2br w:val="nil"/>
              <w:tr2bl w:val="nil"/>
            </w:tcBorders>
            <w:vAlign w:val="center"/>
          </w:tcPr>
          <w:p>
            <w:pPr>
              <w:rPr>
                <w:rFonts w:ascii="宋体" w:hAnsi="宋体" w:cs="宋体"/>
                <w:sz w:val="18"/>
                <w:szCs w:val="18"/>
              </w:rPr>
            </w:pPr>
            <w:r>
              <w:rPr>
                <w:rFonts w:hint="eastAsia"/>
                <w:sz w:val="18"/>
                <w:szCs w:val="18"/>
              </w:rPr>
              <w:t>正常工作开展天数占总天数的比率</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90.00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993" w:type="dxa"/>
            <w:tcBorders>
              <w:tl2br w:val="nil"/>
              <w:tr2bl w:val="nil"/>
            </w:tcBorders>
            <w:noWrap/>
            <w:vAlign w:val="center"/>
          </w:tcPr>
          <w:p>
            <w:pPr>
              <w:rPr>
                <w:rFonts w:ascii="宋体" w:hAnsi="宋体" w:cs="宋体"/>
                <w:sz w:val="18"/>
                <w:szCs w:val="18"/>
              </w:rPr>
            </w:pPr>
            <w:r>
              <w:rPr>
                <w:rFonts w:hint="eastAsia"/>
                <w:sz w:val="18"/>
                <w:szCs w:val="18"/>
              </w:rPr>
              <w:t>提高工作效率</w:t>
            </w:r>
          </w:p>
        </w:tc>
        <w:tc>
          <w:tcPr>
            <w:tcW w:w="2490" w:type="dxa"/>
            <w:tcBorders>
              <w:tl2br w:val="nil"/>
              <w:tr2bl w:val="nil"/>
            </w:tcBorders>
            <w:noWrap/>
          </w:tcPr>
          <w:p>
            <w:pPr>
              <w:rPr>
                <w:rFonts w:ascii="宋体" w:hAnsi="宋体" w:cs="宋体"/>
                <w:sz w:val="18"/>
                <w:szCs w:val="18"/>
              </w:rPr>
            </w:pPr>
            <w:r>
              <w:rPr>
                <w:rFonts w:hint="eastAsia"/>
                <w:sz w:val="18"/>
                <w:szCs w:val="18"/>
              </w:rPr>
              <w:t>明显提升得满分，提升效果一般得指标分值50%，未提升得0分</w:t>
            </w:r>
          </w:p>
        </w:tc>
        <w:tc>
          <w:tcPr>
            <w:tcW w:w="2762" w:type="dxa"/>
            <w:tcBorders>
              <w:tl2br w:val="nil"/>
              <w:tr2bl w:val="nil"/>
            </w:tcBorders>
            <w:noWrap/>
            <w:vAlign w:val="center"/>
          </w:tcPr>
          <w:p>
            <w:pPr>
              <w:rPr>
                <w:rFonts w:ascii="宋体" w:hAnsi="宋体" w:cs="宋体"/>
                <w:sz w:val="18"/>
                <w:szCs w:val="18"/>
              </w:rPr>
            </w:pPr>
            <w:r>
              <w:rPr>
                <w:rFonts w:hint="eastAsia"/>
                <w:sz w:val="18"/>
                <w:szCs w:val="18"/>
              </w:rPr>
              <w:t>为居民提供服务，提高工作效率</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明显提升</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生态  效益</w:t>
            </w:r>
          </w:p>
        </w:tc>
        <w:tc>
          <w:tcPr>
            <w:tcW w:w="993" w:type="dxa"/>
            <w:tcBorders>
              <w:tl2br w:val="nil"/>
              <w:tr2bl w:val="nil"/>
            </w:tcBorders>
            <w:noWrap/>
            <w:vAlign w:val="center"/>
          </w:tcPr>
          <w:p>
            <w:pPr>
              <w:rPr>
                <w:rFonts w:ascii="宋体" w:hAnsi="宋体" w:cs="宋体"/>
                <w:sz w:val="18"/>
                <w:szCs w:val="18"/>
              </w:rPr>
            </w:pPr>
            <w:r>
              <w:rPr>
                <w:rFonts w:hint="eastAsia"/>
                <w:sz w:val="18"/>
                <w:szCs w:val="18"/>
              </w:rPr>
              <w:t>改善群众生活环境</w:t>
            </w:r>
          </w:p>
        </w:tc>
        <w:tc>
          <w:tcPr>
            <w:tcW w:w="2490" w:type="dxa"/>
            <w:tcBorders>
              <w:tl2br w:val="nil"/>
              <w:tr2bl w:val="nil"/>
            </w:tcBorders>
            <w:noWrap/>
          </w:tcPr>
          <w:p>
            <w:pPr>
              <w:rPr>
                <w:rFonts w:ascii="宋体" w:hAnsi="宋体" w:cs="宋体"/>
                <w:sz w:val="18"/>
                <w:szCs w:val="18"/>
              </w:rPr>
            </w:pPr>
            <w:r>
              <w:rPr>
                <w:rFonts w:hint="eastAsia"/>
                <w:sz w:val="18"/>
                <w:szCs w:val="18"/>
              </w:rPr>
              <w:t>效果显著得满分，效果一般得指标分值50%，无效果得0分</w:t>
            </w:r>
          </w:p>
        </w:tc>
        <w:tc>
          <w:tcPr>
            <w:tcW w:w="2762" w:type="dxa"/>
            <w:tcBorders>
              <w:tl2br w:val="nil"/>
              <w:tr2bl w:val="nil"/>
            </w:tcBorders>
            <w:noWrap/>
            <w:vAlign w:val="center"/>
          </w:tcPr>
          <w:p>
            <w:pPr>
              <w:rPr>
                <w:rFonts w:ascii="宋体" w:hAnsi="宋体" w:cs="宋体"/>
                <w:sz w:val="18"/>
                <w:szCs w:val="18"/>
              </w:rPr>
            </w:pPr>
            <w:r>
              <w:rPr>
                <w:rFonts w:hint="eastAsia"/>
                <w:sz w:val="18"/>
                <w:szCs w:val="18"/>
              </w:rPr>
              <w:t>逐步缩小新旧小区环境差距，切实改善群众生活环境和生活质量</w:t>
            </w:r>
          </w:p>
        </w:tc>
        <w:tc>
          <w:tcPr>
            <w:tcW w:w="850" w:type="dxa"/>
            <w:tcBorders>
              <w:tl2br w:val="nil"/>
              <w:tr2bl w:val="nil"/>
            </w:tcBorders>
            <w:vAlign w:val="center"/>
          </w:tcPr>
          <w:p>
            <w:pPr>
              <w:rPr>
                <w:rFonts w:ascii="宋体" w:hAnsi="宋体" w:cs="宋体"/>
                <w:sz w:val="18"/>
                <w:szCs w:val="18"/>
              </w:rPr>
            </w:pPr>
            <w:r>
              <w:rPr>
                <w:rFonts w:hint="eastAsia"/>
                <w:sz w:val="18"/>
                <w:szCs w:val="18"/>
              </w:rPr>
              <w:t>文字描述</w:t>
            </w:r>
          </w:p>
        </w:tc>
        <w:tc>
          <w:tcPr>
            <w:tcW w:w="709" w:type="dxa"/>
            <w:tcBorders>
              <w:tl2br w:val="nil"/>
              <w:tr2bl w:val="nil"/>
            </w:tcBorders>
            <w:vAlign w:val="center"/>
          </w:tcPr>
          <w:p>
            <w:pPr>
              <w:jc w:val="right"/>
              <w:rPr>
                <w:rFonts w:ascii="宋体" w:hAnsi="宋体" w:cs="宋体"/>
                <w:sz w:val="18"/>
                <w:szCs w:val="18"/>
              </w:rPr>
            </w:pPr>
          </w:p>
        </w:tc>
        <w:tc>
          <w:tcPr>
            <w:tcW w:w="850" w:type="dxa"/>
            <w:tcBorders>
              <w:tl2br w:val="nil"/>
              <w:tr2bl w:val="nil"/>
            </w:tcBorders>
            <w:vAlign w:val="center"/>
          </w:tcPr>
          <w:p>
            <w:pPr>
              <w:rPr>
                <w:rFonts w:ascii="宋体" w:hAnsi="宋体" w:cs="宋体"/>
                <w:sz w:val="18"/>
                <w:szCs w:val="18"/>
              </w:rPr>
            </w:pPr>
            <w:r>
              <w:rPr>
                <w:rFonts w:hint="eastAsia"/>
                <w:sz w:val="18"/>
                <w:szCs w:val="18"/>
              </w:rPr>
              <w:t>效果显著</w:t>
            </w:r>
          </w:p>
        </w:tc>
        <w:tc>
          <w:tcPr>
            <w:tcW w:w="1742" w:type="dxa"/>
            <w:tcBorders>
              <w:tl2br w:val="nil"/>
              <w:tr2bl w:val="nil"/>
            </w:tcBorders>
            <w:vAlign w:val="center"/>
          </w:tcPr>
          <w:p>
            <w:pPr>
              <w:rPr>
                <w:rFonts w:ascii="宋体" w:hAnsi="宋体" w:cs="宋体"/>
                <w:sz w:val="18"/>
                <w:szCs w:val="18"/>
              </w:rPr>
            </w:pPr>
            <w:r>
              <w:rPr>
                <w:rFonts w:hint="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60" w:type="dxa"/>
            <w:vMerge w:val="continue"/>
            <w:tcBorders>
              <w:tl2br w:val="nil"/>
              <w:tr2bl w:val="nil"/>
            </w:tcBorders>
            <w:vAlign w:val="center"/>
          </w:tcPr>
          <w:p/>
        </w:tc>
        <w:tc>
          <w:tcPr>
            <w:tcW w:w="70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993" w:type="dxa"/>
            <w:tcBorders>
              <w:tl2br w:val="nil"/>
              <w:tr2bl w:val="nil"/>
            </w:tcBorders>
            <w:noWrap/>
            <w:vAlign w:val="center"/>
          </w:tcPr>
          <w:p>
            <w:pPr>
              <w:rPr>
                <w:rFonts w:ascii="宋体" w:hAnsi="宋体" w:cs="宋体"/>
                <w:sz w:val="18"/>
                <w:szCs w:val="18"/>
              </w:rPr>
            </w:pPr>
            <w:r>
              <w:rPr>
                <w:rFonts w:hint="eastAsia"/>
                <w:sz w:val="18"/>
                <w:szCs w:val="18"/>
              </w:rPr>
              <w:t>综合满意度</w:t>
            </w:r>
          </w:p>
        </w:tc>
        <w:tc>
          <w:tcPr>
            <w:tcW w:w="2490" w:type="dxa"/>
            <w:tcBorders>
              <w:tl2br w:val="nil"/>
              <w:tr2bl w:val="nil"/>
            </w:tcBorders>
            <w:noWrap/>
          </w:tcPr>
          <w:p>
            <w:pPr>
              <w:rPr>
                <w:rFonts w:ascii="宋体" w:hAnsi="宋体" w:cs="宋体"/>
                <w:sz w:val="18"/>
                <w:szCs w:val="18"/>
              </w:rPr>
            </w:pPr>
            <w:r>
              <w:rPr>
                <w:rFonts w:hint="eastAsia"/>
                <w:sz w:val="18"/>
                <w:szCs w:val="18"/>
              </w:rPr>
              <w:t>满意度每降低5%，减满意度分值5%，满意度低于60%得0分。</w:t>
            </w:r>
          </w:p>
        </w:tc>
        <w:tc>
          <w:tcPr>
            <w:tcW w:w="2762" w:type="dxa"/>
            <w:tcBorders>
              <w:tl2br w:val="nil"/>
              <w:tr2bl w:val="nil"/>
            </w:tcBorders>
            <w:noWrap/>
            <w:vAlign w:val="center"/>
          </w:tcPr>
          <w:p>
            <w:pPr>
              <w:rPr>
                <w:rFonts w:ascii="宋体" w:hAnsi="宋体" w:cs="宋体"/>
                <w:sz w:val="18"/>
                <w:szCs w:val="18"/>
              </w:rPr>
            </w:pPr>
            <w:r>
              <w:rPr>
                <w:rFonts w:hint="eastAsia"/>
                <w:sz w:val="18"/>
                <w:szCs w:val="18"/>
              </w:rPr>
              <w:t>居民满意度</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709" w:type="dxa"/>
            <w:tcBorders>
              <w:tl2br w:val="nil"/>
              <w:tr2bl w:val="nil"/>
            </w:tcBorders>
            <w:vAlign w:val="center"/>
          </w:tcPr>
          <w:p>
            <w:pPr>
              <w:jc w:val="right"/>
              <w:rPr>
                <w:rFonts w:ascii="宋体" w:hAnsi="宋体" w:cs="宋体"/>
                <w:sz w:val="18"/>
                <w:szCs w:val="18"/>
              </w:rPr>
            </w:pPr>
            <w:r>
              <w:rPr>
                <w:rFonts w:hint="eastAsia"/>
                <w:sz w:val="18"/>
                <w:szCs w:val="18"/>
              </w:rPr>
              <w:t>95.00</w:t>
            </w:r>
          </w:p>
        </w:tc>
        <w:tc>
          <w:tcPr>
            <w:tcW w:w="850" w:type="dxa"/>
            <w:tcBorders>
              <w:tl2br w:val="nil"/>
              <w:tr2bl w:val="nil"/>
            </w:tcBorders>
            <w:vAlign w:val="center"/>
          </w:tcPr>
          <w:p>
            <w:pPr>
              <w:rPr>
                <w:rFonts w:ascii="宋体" w:hAnsi="宋体" w:cs="宋体"/>
                <w:sz w:val="18"/>
                <w:szCs w:val="18"/>
              </w:rPr>
            </w:pPr>
            <w:r>
              <w:rPr>
                <w:rFonts w:hint="eastAsia"/>
                <w:sz w:val="18"/>
                <w:szCs w:val="18"/>
              </w:rPr>
              <w:t>%</w:t>
            </w:r>
          </w:p>
        </w:tc>
        <w:tc>
          <w:tcPr>
            <w:tcW w:w="1742" w:type="dxa"/>
            <w:tcBorders>
              <w:tl2br w:val="nil"/>
              <w:tr2bl w:val="nil"/>
            </w:tcBorders>
            <w:vAlign w:val="center"/>
          </w:tcPr>
          <w:p>
            <w:pPr>
              <w:rPr>
                <w:rFonts w:ascii="宋体" w:hAnsi="宋体" w:cs="宋体"/>
                <w:sz w:val="18"/>
                <w:szCs w:val="18"/>
              </w:rPr>
            </w:pPr>
            <w:r>
              <w:rPr>
                <w:rFonts w:hint="eastAsia"/>
                <w:sz w:val="18"/>
                <w:szCs w:val="18"/>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700" w:firstLineChars="249"/>
        <w:jc w:val="left"/>
        <w:rPr>
          <w:rFonts w:hAnsi="宋体"/>
          <w:b/>
          <w:sz w:val="28"/>
        </w:rPr>
      </w:pPr>
      <w:bookmarkStart w:id="0" w:name="_Toc29799657"/>
      <w:bookmarkEnd w:id="0"/>
      <w:r>
        <w:rPr>
          <w:rFonts w:hint="eastAsia" w:ascii="方正仿宋_GBK" w:eastAsia="方正仿宋_GBK"/>
          <w:b/>
          <w:sz w:val="28"/>
        </w:rPr>
        <w:t>1、融媒体宣传费用绩效目标表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通过融媒体平台的展示，让大众了解街道、社区工作，增加居民对街道、社区工作的支持率。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播发图文形象展示数量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县委、县政府工作要求及街道、社区重点工作落实情况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刊播播放率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保证正常播放，播放率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刊播时长</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实际刊播时长</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历年刊播数据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拍摄专题片成本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拍摄制作一部反映整体工作和亮点工作的专题片成本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推动社区工作顺利开展</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让大众了解街道、社区工作，增加居民对街道、社区工作的支持率。推动社区工作顺利开展</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2、楼门栋长补贴经费绩效目标表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通过项目的开展按时按量的发放</w:t>
            </w:r>
            <w:r>
              <w:rPr>
                <w:rFonts w:ascii="方正书宋_GBK" w:eastAsia="方正书宋_GBK"/>
              </w:rPr>
              <w:t>355</w:t>
            </w:r>
            <w:r>
              <w:rPr>
                <w:rFonts w:hint="eastAsia" w:ascii="方正书宋_GBK" w:eastAsia="方正书宋_GBK"/>
              </w:rPr>
              <w:t>名楼门栋长，标准为</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月补助，促使楼门栋长配合社区居委会工作，实现降低居民纠纷率、提高楼门栋长满意度的目标。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楼门栋长人数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355</w:t>
            </w:r>
            <w:r>
              <w:rPr>
                <w:rFonts w:hint="eastAsia" w:ascii="方正书宋_GBK" w:eastAsia="方正书宋_GBK"/>
              </w:rPr>
              <w:t>名人员到岗工作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355</w:t>
            </w:r>
            <w:r>
              <w:rPr>
                <w:rFonts w:hint="eastAsia" w:ascii="方正书宋_GBK" w:eastAsia="方正书宋_GBK"/>
              </w:rPr>
              <w:t>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现有</w:t>
            </w:r>
            <w:r>
              <w:rPr>
                <w:rFonts w:ascii="方正书宋_GBK" w:eastAsia="方正书宋_GBK"/>
              </w:rPr>
              <w:t>355</w:t>
            </w:r>
            <w:r>
              <w:rPr>
                <w:rFonts w:hint="eastAsia" w:ascii="方正书宋_GBK" w:eastAsia="方正书宋_GBK"/>
              </w:rPr>
              <w:t>名楼门栋长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实际补助发放时间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日</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人均补助标准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依据文件要求，按照</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月的标准补贴人员占发放人员总数的比率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中共大厂回族自治县委大厂回族自治县人民政府《关于加强和改进社区居民委员会建设工作的意见》大发</w:t>
            </w:r>
            <w:r>
              <w:rPr>
                <w:rFonts w:ascii="方正书宋_GBK" w:eastAsia="方正书宋_GBK"/>
              </w:rPr>
              <w:t>[2012]24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居民纠纷发生率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小区居民出现纠纷问题的比率（反向指标）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小区居民满意度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3、社区工作人员补贴绩效目标表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通过项目的开展，按时按量发放社区工作者补贴，实现提高工作完成率、社区工作者满意目标。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16</w:t>
            </w:r>
            <w:r>
              <w:rPr>
                <w:rFonts w:hint="eastAsia" w:ascii="方正书宋_GBK" w:eastAsia="方正书宋_GBK"/>
              </w:rPr>
              <w:t>名社区工作到岗工作</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实际招聘人员数量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补助发放时间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补助发放时间和计划发放时间的对比</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人均补助标准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月的标准</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社区服务能力提升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补助所带来的工作人员服务社区能力提升情况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4、行政综合服务中心改造提升工程绩效目标表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通过项目的开展实现完成行政综合服务中心的建设，为居民提供服务，实现提高工作效率、居民满意度的目标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建设规模</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实际扩建的平米数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平方米</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改造提升工程验收合格率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在规定时间内完成改造工程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总费用与总面积的比例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0.31</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提高工作效率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完成行政综合服务中心的建设，为居民提供服务，提高工作效率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5、北辰街道平房区公共基础设施改造提升工程绩效目标表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w:t>
            </w:r>
            <w:r>
              <w:rPr>
                <w:rFonts w:ascii="方正书宋_GBK" w:eastAsia="方正书宋_GBK"/>
              </w:rPr>
              <w:t>11</w:t>
            </w:r>
            <w:r>
              <w:rPr>
                <w:rFonts w:hint="eastAsia" w:ascii="方正书宋_GBK" w:eastAsia="方正书宋_GBK"/>
              </w:rPr>
              <w:t>个小区进行改造，按质按量完成工程量，实现改善小区居民出行情况、提升小区环境质量、小区居民满意的目标。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改造小区个数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通过验收合格的工程量与总工程量的比例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基础设施完好率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修缮后，基础设施完好程度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改造工程在规定时间内完成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小区改造平均成本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每个小区改造需花费的费用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27.27</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改善小区居民出行情况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修缮后，改善小区居民出行情况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提升小区环境质量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修缮后，提升小区环境质量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居住环境明显提升，居民满意率高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6、社区党组织服务群众专项经费绩效目标表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11</w:t>
            </w:r>
            <w:r>
              <w:rPr>
                <w:rFonts w:hint="eastAsia" w:ascii="方正书宋_GBK" w:eastAsia="方正书宋_GBK"/>
              </w:rPr>
              <w:t>个社区完善社区服务设施建设、社区党员团队服务建设、解决居民的迫切需要、为居民提供服务、为物业公司进行补贴，实现降低群众问题反映率、提高群众满意率的目标。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完善社区服务设施建设、社区党员团队服务建设、解决居民的迫切需要、为居民提供服务、为物业公司进行补贴的社区数量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服务到位率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服务到位的工作量与应服务到位工作总量的比例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社区服务工作及时性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为社区服务工作在规定时间内完成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每个社区完成社区服务的费用</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群众问题处理率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解决群众反映问题与全部群众反映问题数的比例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7、妇联工作经费绩效目标表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通过项目的开展，实现扩大宣传覆盖率、提高活动物品使用率、妇女满意率的目标。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展牌数量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实际购置安装展牌的数量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展牌合格率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购置展牌的验收合格率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在规定时间内完成工作</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展牌单价</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每块展牌的价格</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529</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加强妇联基层组织建设</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为进一步加强妇联基层组织建设，更好地引领、服务、联系妇女群众，更好地把广大妇女群众团结在党的周围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妇女对提供各种政务等服务的满意程度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8、政府购买服务专项经费绩效目标表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通过招聘居民委员会工作人员</w:t>
            </w:r>
            <w:r>
              <w:rPr>
                <w:rFonts w:ascii="方正书宋_GBK" w:eastAsia="方正书宋_GBK"/>
              </w:rPr>
              <w:t>58</w:t>
            </w:r>
            <w:r>
              <w:rPr>
                <w:rFonts w:hint="eastAsia" w:ascii="方正书宋_GBK" w:eastAsia="方正书宋_GBK"/>
              </w:rPr>
              <w:t>名</w:t>
            </w:r>
            <w:r>
              <w:rPr>
                <w:rFonts w:ascii="方正书宋_GBK" w:eastAsia="方正书宋_GBK"/>
              </w:rPr>
              <w:t>,</w:t>
            </w:r>
            <w:r>
              <w:rPr>
                <w:rFonts w:hint="eastAsia" w:ascii="方正书宋_GBK" w:eastAsia="方正书宋_GBK"/>
              </w:rPr>
              <w:t>按时按量发放政府购买人员工资，实现提高工作完成率、提升业务能力、提高政府购买人员满意度的目标。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到岗人数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w:t>
            </w:r>
            <w:r>
              <w:rPr>
                <w:rFonts w:ascii="方正书宋_GBK" w:eastAsia="方正书宋_GBK"/>
              </w:rPr>
              <w:t>58</w:t>
            </w:r>
            <w:r>
              <w:rPr>
                <w:rFonts w:hint="eastAsia" w:ascii="方正书宋_GBK" w:eastAsia="方正书宋_GBK"/>
              </w:rPr>
              <w:t>名社区工作到岗工作</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出勤率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劳务派遣人员按时到岗的情况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 xml:space="preserve"> </w:t>
            </w:r>
            <w:r>
              <w:rPr>
                <w:rFonts w:hint="eastAsia" w:ascii="方正书宋_GBK" w:eastAsia="方正书宋_GBK"/>
              </w:rPr>
              <w:t>号之前拨付资金至派遣公司</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日</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人均工资成本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总成本与预计到岗人数的比值</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4.81</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促进居民就业</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对促进居民就业及人力资源合理配置影响显著</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受聘人员及用工单位反馈结果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用工单位满意程度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9、社区及新时代文明实践所房租绩效目标表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通过以租房的形式，保障社区和新时代文明实践所正常运转，更好的为居民服务。</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实际租房的社区数量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租赁用房使用率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租赁房屋投入使用的数量占租赁房屋总数的比例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租金支付及时性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按照合同支付租金</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每个社区租赁房屋所需费用平均值</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25.09</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通过租房保障正常运转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保障社区和新时代文明实践所正常运转，更好的为居民服务</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10、老旧小区改造二期工程（尾款）绩效目标表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通过项目的开展按质按量完成工程量，实现基础设施完好率、受益群体满意的目标。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保持良好面貌的小区数量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老旧小区改造完成后，保持良好面貌的小区数量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创建全国文明县城评分标准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基础设施完好率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老旧小区改造后，基础设施完好数量与总数量的比例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尾款支付及时性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按照合同约定时间支付尾款</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尾款平均到每个小区的成本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10.23</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提升老旧小区面貌和整体环境水平</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逐步缩小新旧小区环境差距，提升县城区整体环境水平</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改善群众生活环境</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逐步缩小新旧小区环境差距，切实改善群众生活环境和生活质量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居住环境明显提升，居民满意率高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11、城区老旧住宅小区公共基础设施和背街小巷道路改造提升工程资金（尾款）绩效目标表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通过项目的开展按质按量完成工程量，实现基础设施完好率、受益群体满意的目标。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投入使用的公共基础设施数量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完成城区老旧住宅小区公共基础设施改造工程后投入使用的数量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基础设施完好率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老旧小区改造后，基础设施完好数量与总数量的比例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尾款支付及时性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按照合同约定时间支付尾款</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尾款平均到每个小区的成本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9.66</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改善小区居民出行情况</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修缮后，改善小区居民出行情况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改造后道路可使用年限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改造工程结束后道路可使用年限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居住环境明显提升，居民满意率高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12、管理培训经费绩效目标表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根据实际工作需要，开展培训</w:t>
            </w:r>
            <w:r>
              <w:rPr>
                <w:rFonts w:ascii="方正书宋_GBK" w:eastAsia="方正书宋_GBK"/>
              </w:rPr>
              <w:t>5</w:t>
            </w:r>
            <w:r>
              <w:rPr>
                <w:rFonts w:hint="eastAsia" w:ascii="方正书宋_GBK" w:eastAsia="方正书宋_GBK"/>
              </w:rPr>
              <w:t>场，计划培训人次</w:t>
            </w:r>
            <w:r>
              <w:rPr>
                <w:rFonts w:ascii="方正书宋_GBK" w:eastAsia="方正书宋_GBK"/>
              </w:rPr>
              <w:t>15</w:t>
            </w:r>
            <w:r>
              <w:rPr>
                <w:rFonts w:hint="eastAsia" w:ascii="方正书宋_GBK" w:eastAsia="方正书宋_GBK"/>
              </w:rPr>
              <w:t>人，提高工作水平，维护职工权益，为正常工作提供保障。</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实际开展培训等各类活动的次数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参训人次</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实际参与培训人数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培训后开展测试的及格率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单次培训周期</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实际培训平均培训期间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总成本与总参训人数的比例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0.53</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参训人员管理能力提升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提高工作水平，维护职工权益，为正常工作提供保障。</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13、残疾人就业保障金绩效目标表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促进和扶持区域内残疾人就业和创业，帮助残疾人融入社会。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形成全社会关爱和帮助残疾人的良好氛围。</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单位职工数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以单位职工总数计算缴纳残保金技术</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综合就业率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通过缴纳残保金帮助残疾人解决就业问题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实际完成项目的时间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实际需要的资金成本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残疾人就业安置率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残疾人通过就业帮扶获得就业的提升情况</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残疾人对就业的满意度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14、计生小组长补贴经费绩效目标表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通过项目的开展按时按量的发放计生小组长补贴，实现提高计生知识覆盖率、计生小组长满意的目标。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计生小组长人数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按照每</w:t>
            </w:r>
            <w:r>
              <w:rPr>
                <w:rFonts w:ascii="方正书宋_GBK" w:eastAsia="方正书宋_GBK"/>
              </w:rPr>
              <w:t>50-100</w:t>
            </w:r>
            <w:r>
              <w:rPr>
                <w:rFonts w:hint="eastAsia" w:ascii="方正书宋_GBK" w:eastAsia="方正书宋_GBK"/>
              </w:rPr>
              <w:t>名育龄妇女设置</w:t>
            </w:r>
            <w:r>
              <w:rPr>
                <w:rFonts w:ascii="方正书宋_GBK" w:eastAsia="方正书宋_GBK"/>
              </w:rPr>
              <w:t>1</w:t>
            </w:r>
            <w:r>
              <w:rPr>
                <w:rFonts w:hint="eastAsia" w:ascii="方正书宋_GBK" w:eastAsia="方正书宋_GBK"/>
              </w:rPr>
              <w:t>名计生小组长的标准</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117</w:t>
            </w:r>
            <w:r>
              <w:rPr>
                <w:rFonts w:hint="eastAsia" w:ascii="方正书宋_GBK" w:eastAsia="方正书宋_GBK"/>
              </w:rPr>
              <w:t>名</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依据文件要求，按照</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月的标准补贴人员占发放人员总数的比率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中共大厂回族自治县委大厂回族自治县人民政府《关于加强和改进社区居民委员会建设工作的意见》大发</w:t>
            </w:r>
            <w:r>
              <w:rPr>
                <w:rFonts w:ascii="方正书宋_GBK" w:eastAsia="方正书宋_GBK"/>
              </w:rPr>
              <w:t>[2012]24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每月按时发放补贴</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人均标准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每人每月发放标准</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计生知识宣传覆盖率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活动小区关于计生知识的覆盖率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计生小组长满意度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15、维稳经费绩效目标表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通过两会期间的安保工作、暑期安保工作、退役军人局安排信访值班得方式，做好维稳工作，稳定社会环境，使人民生活更幸福，社会更和谐</w:t>
            </w:r>
            <w:r>
              <w:rPr>
                <w:rFonts w:ascii="方正书宋_GBK" w:eastAsia="方正书宋_GBK"/>
              </w:rPr>
              <w:t>,</w:t>
            </w:r>
            <w:r>
              <w:rPr>
                <w:rFonts w:hint="eastAsia" w:ascii="方正书宋_GBK" w:eastAsia="方正书宋_GBK"/>
              </w:rPr>
              <w:t>实现大厂镇经济社会快速发展。</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专项维稳项目数量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根据历年工作经验及</w:t>
            </w:r>
            <w:r>
              <w:rPr>
                <w:rFonts w:ascii="方正书宋_GBK" w:eastAsia="方正书宋_GBK"/>
              </w:rPr>
              <w:t>2021</w:t>
            </w:r>
            <w:r>
              <w:rPr>
                <w:rFonts w:hint="eastAsia" w:ascii="方正书宋_GBK" w:eastAsia="方正书宋_GBK"/>
              </w:rPr>
              <w:t>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涉稳舆情处置率</w:t>
            </w:r>
            <w:r>
              <w:rPr>
                <w:rFonts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处置的涉稳舆情数占涉稳网络舆情总数的比率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维稳工作时长</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1-12</w:t>
            </w:r>
            <w:r>
              <w:rPr>
                <w:rFonts w:hint="eastAsia" w:ascii="方正书宋_GBK" w:eastAsia="方正书宋_GBK"/>
              </w:rPr>
              <w:t>月</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根据历年工作经验及</w:t>
            </w:r>
            <w:r>
              <w:rPr>
                <w:rFonts w:ascii="方正书宋_GBK" w:eastAsia="方正书宋_GBK"/>
              </w:rPr>
              <w:t>2021</w:t>
            </w:r>
            <w:r>
              <w:rPr>
                <w:rFonts w:hint="eastAsia" w:ascii="方正书宋_GBK" w:eastAsia="方正书宋_GBK"/>
              </w:rPr>
              <w:t>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每日补贴成本控制率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每日补贴实际支出数符合相关规定的比率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w:t>
            </w:r>
            <w:r>
              <w:rPr>
                <w:rFonts w:ascii="方正书宋_GBK" w:eastAsia="方正书宋_GBK"/>
              </w:rPr>
              <w:t>18</w:t>
            </w:r>
            <w:r>
              <w:rPr>
                <w:rFonts w:hint="eastAsia" w:ascii="方正书宋_GBK" w:eastAsia="方正书宋_GBK"/>
              </w:rPr>
              <w:t>、</w:t>
            </w:r>
            <w:r>
              <w:rPr>
                <w:rFonts w:ascii="方正书宋_GBK" w:eastAsia="方正书宋_GBK"/>
              </w:rPr>
              <w:t>19</w:t>
            </w:r>
            <w:r>
              <w:rPr>
                <w:rFonts w:hint="eastAsia" w:ascii="方正书宋_GBK" w:eastAsia="方正书宋_GBK"/>
              </w:rPr>
              <w:t>三年测算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重大活动突发事件发生率</w:t>
            </w:r>
            <w:r>
              <w:rPr>
                <w:rFonts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发生突发事件的重大活动数量占全部重大活动的比率（反向指标）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&lt;1</w:t>
            </w:r>
            <w:r>
              <w:rPr>
                <w:rFonts w:hint="eastAsia" w:ascii="方正书宋_GBK" w:eastAsia="方正书宋_GBK"/>
              </w:rPr>
              <w:t>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公众安全感指数</w:t>
            </w:r>
            <w:r>
              <w:rPr>
                <w:rFonts w:ascii="方正书宋_GBK" w:eastAsia="方正书宋_GBK"/>
              </w:rPr>
              <w:t>(%)</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对治安管理满意的人数査调查总人数的比率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16、社区工作经费绩效目标表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bookmarkStart w:id="3" w:name="_GoBack"/>
            <w:bookmarkEnd w:id="3"/>
            <w:r>
              <w:rPr>
                <w:rFonts w:ascii="方正书宋_GBK" w:eastAsia="方正书宋_GBK"/>
              </w:rPr>
              <w:t>11</w:t>
            </w:r>
            <w:r>
              <w:rPr>
                <w:rFonts w:hint="eastAsia" w:ascii="方正书宋_GBK" w:eastAsia="方正书宋_GBK"/>
              </w:rPr>
              <w:t>个社区日常工作需求、为居民提供服务，实现提高正常工作开展率、居委会满意度的目标。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用于居委会的日常办公费用涉及社区数量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用于居委会的日常办公费用涉及社区数量与总社区数量的比例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在文件的规定时间内完成报销</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用于每个社区的日常办公费用</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正常工作开展率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正常工作开展天数占总天数的比率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17、行政综合服务中心设备购置及办公经费绩效目标表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通过项目的开展实现完成行政综合服务中心的建设，为居民提供服务，实现提高工作效率、居民满意度的目标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办证数量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办理各种证件的数量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办理证件合格率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办理证件合格的数量与全部数量的比例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办证工作效率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行政综合服务中心各类证照的印制在规定时间内完成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办证平均成本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每个证件的单位成本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0.01</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提高工作效率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为居民提供服务，提高工作效率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18、武装部工作经费绩效目标表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通过项目的开展完成社会保障信息化保障支撑度、综合业务管理工作、实现征兵任务按计划完成、北辰街道民兵队伍素质过硬的目标。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征兵宣传材料数量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征兵宣传材料数量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购置民兵服装</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购置民兵服装数量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民兵点验人数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因民兵点验发放补贴的人数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购置装备器材</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购置装备器材数量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征兵宣传的范围与应宣传范围的比例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服装、器材验收合格率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装备器材验收合格率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在规定时间内完成工作</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征兵宣传公告成本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征兵宣传公告成本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民兵服装成本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民兵服装成本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民兵点验成本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民兵点验成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装备器材成本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装备器材成本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完成征兵任务，提升民兵队伍素质</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征兵任务按计划完成，提升北辰街道民兵队伍素质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居民对征兵宣传满意度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19、退役军人管理服务站经费绩效目标表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通过印发宣传资料、添置网络平台、购买活动用品进行走访慰问等工作的开展，实现降低退役军人反映问题的比率、提高工作人员满意度的目标。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服务站展牌数量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活动室门牌数量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购买活动用品数量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购买活动用品数量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宣传资料数量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宣传资料数量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520</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物品合格率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活动物品通过验收的数量与总数量的比例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宣传的范围与应宣传范围的比例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在规定时间内完成工作</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服务站展牌单位成本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活动室门牌单位成本</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购买活动用品成本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购买活动用品成本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宣传资料单位成本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宣传资料单位成本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降低退役军人反映问题率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降低退役军人反映问题的比率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退役军人满意度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20、创城项目资金绩效目标表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根据创城办交办及督办单开展各项工作，确保达到创建全国文明县城标准。</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创城工作完成率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实际完成的创城工作量与应完成的创城工作量的比例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创城工作合格率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创城工作合格的工作量与总工作量的比例</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创城工作完成及时性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创城工作在规定时间内完成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小区维修、改造、保洁费用</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对无物业小区、产权单位小区内外墙面、楼梯扶手粉刷、小区清扫洗擦试楼道门窗、小区垃圾杂物清理、小区消防设施及门窗等公共区域的维修、小区电气设备检修更换、，各社区居委会保洁、检修所需费用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220.15</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增设公益广告、展牌费</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各生活小区增设非机动车停车位展牌、创城临检增设公益广告、社区物品，、精神文明创建、移风易俗、晨晚练活动点等公益广告</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38.99</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宣传覆盖率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宣传到位的小区数与全辖区居民小区数的比例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确保达到创建全国文明县城标准</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创城办交办及督办单开展各项工作，确保达到创建全国文明县城标准</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21、共青团工作经费绩效目标表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通过项目的开展，打造有影响的青年服务品牌，构建</w:t>
            </w:r>
            <w:r>
              <w:rPr>
                <w:rFonts w:hint="cs" w:ascii="方正书宋_GBK" w:eastAsia="方正书宋_GBK"/>
              </w:rPr>
              <w:t>“</w:t>
            </w:r>
            <w:r>
              <w:rPr>
                <w:rFonts w:hint="eastAsia" w:ascii="方正书宋_GBK" w:eastAsia="方正书宋_GBK"/>
              </w:rPr>
              <w:t>凝聚青年、服务大局、当好桥梁、从严治团</w:t>
            </w:r>
            <w:r>
              <w:rPr>
                <w:rFonts w:hint="cs" w:ascii="方正书宋_GBK" w:eastAsia="方正书宋_GBK"/>
              </w:rPr>
              <w:t>”</w:t>
            </w:r>
            <w:r>
              <w:rPr>
                <w:rFonts w:hint="eastAsia" w:ascii="方正书宋_GBK" w:eastAsia="方正书宋_GBK"/>
              </w:rPr>
              <w:t>的工作格局。</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活动次数</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实际举办</w:t>
            </w:r>
            <w:r>
              <w:rPr>
                <w:rFonts w:hint="cs" w:ascii="方正书宋_GBK" w:eastAsia="方正书宋_GBK"/>
              </w:rPr>
              <w:t>“</w:t>
            </w:r>
            <w:r>
              <w:rPr>
                <w:rFonts w:hint="eastAsia" w:ascii="方正书宋_GBK" w:eastAsia="方正书宋_GBK"/>
              </w:rPr>
              <w:t>爱老敬老</w:t>
            </w:r>
            <w:r>
              <w:rPr>
                <w:rFonts w:hint="cs" w:ascii="方正书宋_GBK" w:eastAsia="方正书宋_GBK"/>
              </w:rPr>
              <w:t>”</w:t>
            </w:r>
            <w:r>
              <w:rPr>
                <w:rFonts w:hint="eastAsia" w:ascii="方正书宋_GBK" w:eastAsia="方正书宋_GBK"/>
              </w:rPr>
              <w:t>活动的次数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活动记录及照片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根据活动聘请理发师上门理发的合格率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在规定时间完成活动举办</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活动平均成本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每次活动举办所需费用</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0.2</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责任感比率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实际提升志愿者责任感使命感</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22、城区无物业、无产权单位小区改造提升工程（尾款）绩效目标表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按照全国文明城市创建标准，通过项目的开展按质按量完成工程量，实现老旧小区面貌提升、居民满意的目标。</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保持良好面貌的小区数量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老旧小区改造完成后，保持良好面貌的小区数量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创建全国文明县城评分标准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基础设施完好率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老旧小区改造后，基础设施完好数量与总数量的比例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尾款支付及时性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按照合同约定时间支付尾款</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尾款平均成本</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尾款平均到每个小区的成本</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6.57</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提升老旧小区面貌和整体环境水平</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逐步缩小新旧小区环境差距，提升县城区整体环境水平</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改善群众生活环境</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逐步缩小新旧小区环境差距，切实改善群众生活环境和生活质量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居住环境明显提升，居民满意率高</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ind w:firstLine="700" w:firstLineChars="249"/>
        <w:jc w:val="left"/>
        <w:rPr>
          <w:rFonts w:hAnsi="宋体"/>
          <w:b/>
          <w:sz w:val="28"/>
        </w:rPr>
      </w:pPr>
      <w:r>
        <w:rPr>
          <w:rFonts w:hint="eastAsia" w:ascii="方正仿宋_GBK" w:eastAsia="方正仿宋_GBK"/>
          <w:b/>
          <w:sz w:val="28"/>
        </w:rPr>
        <w:t>23、新时代文明实践所装修项目监理费绩效目标表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通过聘请第三方对新时代文明实践所装修项目进行监理，保障装修项目按质按量完成。</w:t>
            </w:r>
          </w:p>
        </w:tc>
      </w:tr>
    </w:tbl>
    <w:p>
      <w:pPr>
        <w:spacing w:line="14" w:lineRule="exact"/>
        <w:jc w:val="center"/>
        <w:rPr>
          <w:rFonts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工程数量</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实际完成监理的工程数量</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新时代文明实践所装修项目的验收合格率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监理工程完成及时性</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监理工程在规定时间内完成</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预算资金控制</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项目总体支出控制在预算范围内</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1.26</w:t>
            </w:r>
            <w:r>
              <w:rPr>
                <w:rFonts w:hint="eastAsia" w:ascii="方正书宋_GBK" w:eastAsia="方正书宋_GBK"/>
              </w:rPr>
              <w:t>万元</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居民使用率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新时代文明实践所装修完成后居民的使用率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综合满意度</w:t>
            </w:r>
          </w:p>
        </w:tc>
        <w:tc>
          <w:tcPr>
            <w:tcW w:w="283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jc w:val="left"/>
        <w:outlineLvl w:val="1"/>
        <w:rPr>
          <w:rFonts w:ascii="仿宋" w:hAnsi="仿宋" w:eastAsia="仿宋" w:cs="Times New Roman"/>
          <w:sz w:val="28"/>
        </w:rPr>
      </w:pPr>
    </w:p>
    <w:p>
      <w:pPr>
        <w:jc w:val="left"/>
        <w:outlineLvl w:val="1"/>
        <w:rPr>
          <w:rFonts w:ascii="仿宋" w:hAnsi="仿宋" w:eastAsia="仿宋" w:cs="Times New Roman"/>
          <w:sz w:val="28"/>
        </w:rPr>
      </w:pPr>
    </w:p>
    <w:p>
      <w:pPr>
        <w:jc w:val="left"/>
        <w:outlineLvl w:val="1"/>
        <w:rPr>
          <w:rFonts w:ascii="仿宋" w:hAnsi="仿宋" w:eastAsia="仿宋" w:cs="Times New Roman"/>
          <w:sz w:val="28"/>
        </w:rPr>
      </w:pPr>
    </w:p>
    <w:p>
      <w:pPr>
        <w:jc w:val="left"/>
        <w:outlineLvl w:val="1"/>
        <w:rPr>
          <w:rFonts w:ascii="仿宋" w:hAnsi="仿宋" w:eastAsia="仿宋" w:cs="Times New Roman"/>
          <w:sz w:val="28"/>
        </w:rPr>
      </w:pPr>
    </w:p>
    <w:p>
      <w:pPr>
        <w:jc w:val="left"/>
        <w:outlineLvl w:val="1"/>
        <w:rPr>
          <w:rFonts w:ascii="仿宋" w:hAnsi="仿宋" w:eastAsia="仿宋" w:cs="Times New Roman"/>
          <w:sz w:val="28"/>
        </w:rPr>
      </w:pPr>
      <w:r>
        <w:rPr>
          <w:rFonts w:ascii="仿宋" w:hAnsi="仿宋" w:eastAsia="仿宋"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rPr>
        <w:t>0</w:t>
      </w:r>
      <w:r>
        <w:rPr>
          <w:rFonts w:ascii="仿宋" w:hAnsi="仿宋" w:eastAsia="仿宋"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大厂回族自治县北辰街道办事处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上年末固定资产金额为</w:t>
      </w:r>
      <w:r>
        <w:rPr>
          <w:rFonts w:hint="eastAsia" w:ascii="仿宋" w:hAnsi="仿宋" w:eastAsia="仿宋" w:cs="Times New Roman"/>
          <w:sz w:val="32"/>
          <w:szCs w:val="32"/>
        </w:rPr>
        <w:t>2515.34</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大厂回族自治县北辰街道办事处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2515.34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677.33</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95E3D"/>
    <w:rsid w:val="000A28C2"/>
    <w:rsid w:val="000C3035"/>
    <w:rsid w:val="000C4EB2"/>
    <w:rsid w:val="000D16EE"/>
    <w:rsid w:val="001F687F"/>
    <w:rsid w:val="00215882"/>
    <w:rsid w:val="0023541B"/>
    <w:rsid w:val="002526CF"/>
    <w:rsid w:val="002C47F9"/>
    <w:rsid w:val="00307836"/>
    <w:rsid w:val="0031171D"/>
    <w:rsid w:val="00345339"/>
    <w:rsid w:val="003909CD"/>
    <w:rsid w:val="00391E11"/>
    <w:rsid w:val="003A669D"/>
    <w:rsid w:val="003B4D5F"/>
    <w:rsid w:val="003D39EF"/>
    <w:rsid w:val="003D73C6"/>
    <w:rsid w:val="003F42FA"/>
    <w:rsid w:val="003F44D0"/>
    <w:rsid w:val="00406D17"/>
    <w:rsid w:val="00413667"/>
    <w:rsid w:val="0048087A"/>
    <w:rsid w:val="004A54AA"/>
    <w:rsid w:val="004E0A4F"/>
    <w:rsid w:val="00507F82"/>
    <w:rsid w:val="0051415D"/>
    <w:rsid w:val="005301ED"/>
    <w:rsid w:val="0053255B"/>
    <w:rsid w:val="00536CE0"/>
    <w:rsid w:val="00571FA4"/>
    <w:rsid w:val="005A30C6"/>
    <w:rsid w:val="005C0D34"/>
    <w:rsid w:val="005F6D21"/>
    <w:rsid w:val="00611D60"/>
    <w:rsid w:val="00626058"/>
    <w:rsid w:val="00682F94"/>
    <w:rsid w:val="006E3F36"/>
    <w:rsid w:val="00774782"/>
    <w:rsid w:val="007F1409"/>
    <w:rsid w:val="008552EF"/>
    <w:rsid w:val="008F2064"/>
    <w:rsid w:val="009832FD"/>
    <w:rsid w:val="00A72E59"/>
    <w:rsid w:val="00A761F6"/>
    <w:rsid w:val="00B80935"/>
    <w:rsid w:val="00C1471E"/>
    <w:rsid w:val="00CC6E32"/>
    <w:rsid w:val="00CE0E90"/>
    <w:rsid w:val="00D12B0F"/>
    <w:rsid w:val="00D347CC"/>
    <w:rsid w:val="00DC4FBF"/>
    <w:rsid w:val="00E375C8"/>
    <w:rsid w:val="00E46D39"/>
    <w:rsid w:val="00E771B9"/>
    <w:rsid w:val="00E80D07"/>
    <w:rsid w:val="00E85FD8"/>
    <w:rsid w:val="00EE07AC"/>
    <w:rsid w:val="00EE66F1"/>
    <w:rsid w:val="00F25C1E"/>
    <w:rsid w:val="00F47611"/>
    <w:rsid w:val="00FD3426"/>
    <w:rsid w:val="1B0D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spacing w:after="120" w:line="600" w:lineRule="exact"/>
    </w:pPr>
    <w:rPr>
      <w:rFonts w:cs="Times New Roman"/>
      <w:szCs w:val="21"/>
    </w:rPr>
  </w:style>
  <w:style w:type="paragraph" w:styleId="3">
    <w:name w:val="toc 3"/>
    <w:basedOn w:val="1"/>
    <w:next w:val="1"/>
    <w:semiHidden/>
    <w:uiPriority w:val="0"/>
    <w:pPr>
      <w:ind w:left="840" w:leftChars="400"/>
    </w:pPr>
    <w:rPr>
      <w:rFonts w:ascii="Times New Roman" w:hAnsi="Times New Roman" w:cs="Times New Roman"/>
      <w:szCs w:val="24"/>
    </w:rPr>
  </w:style>
  <w:style w:type="paragraph" w:styleId="4">
    <w:name w:val="Balloon Text"/>
    <w:basedOn w:val="1"/>
    <w:qFormat/>
    <w:uiPriority w:val="0"/>
    <w:rPr>
      <w:sz w:val="18"/>
      <w:szCs w:val="18"/>
    </w:rPr>
  </w:style>
  <w:style w:type="paragraph" w:styleId="5">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uiPriority w:val="0"/>
    <w:rPr>
      <w:rFonts w:ascii="Times New Roman" w:hAnsi="Times New Roman" w:cs="Times New Roman"/>
      <w:szCs w:val="24"/>
    </w:rPr>
  </w:style>
  <w:style w:type="paragraph" w:styleId="8">
    <w:name w:val="toc 4"/>
    <w:basedOn w:val="1"/>
    <w:next w:val="1"/>
    <w:semiHidden/>
    <w:qFormat/>
    <w:uiPriority w:val="0"/>
    <w:pPr>
      <w:ind w:left="1260" w:leftChars="600"/>
    </w:pPr>
    <w:rPr>
      <w:rFonts w:ascii="Times New Roman" w:hAnsi="Times New Roman" w:cs="Times New Roman"/>
      <w:szCs w:val="24"/>
    </w:rPr>
  </w:style>
  <w:style w:type="paragraph" w:styleId="9">
    <w:name w:val="footnote text"/>
    <w:basedOn w:val="1"/>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page number"/>
    <w:basedOn w:val="12"/>
    <w:uiPriority w:val="0"/>
  </w:style>
  <w:style w:type="character" w:styleId="14">
    <w:name w:val="Hyperlink"/>
    <w:basedOn w:val="12"/>
    <w:uiPriority w:val="0"/>
    <w:rPr>
      <w:color w:val="0000FF"/>
      <w:u w:val="single"/>
    </w:rPr>
  </w:style>
  <w:style w:type="character" w:styleId="15">
    <w:name w:val="footnote reference"/>
    <w:uiPriority w:val="0"/>
    <w:rPr>
      <w:vertAlign w:val="superscript"/>
    </w:rPr>
  </w:style>
  <w:style w:type="paragraph" w:customStyle="1" w:styleId="16">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正文文本 Char"/>
    <w:basedOn w:val="12"/>
    <w:link w:val="2"/>
    <w:uiPriority w:val="0"/>
    <w:rPr>
      <w:rFonts w:ascii="Calibri" w:hAnsi="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EBCB-84C3-47DE-97EC-8439F1B4A3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2809</Words>
  <Characters>16015</Characters>
  <Lines>133</Lines>
  <Paragraphs>37</Paragraphs>
  <TotalTime>9109</TotalTime>
  <ScaleCrop>false</ScaleCrop>
  <LinksUpToDate>false</LinksUpToDate>
  <CharactersWithSpaces>18787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2023-11-08T07:18:56Z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AB243A2AA3E04F049C4F8EBEE1648478</vt:lpwstr>
  </property>
</Properties>
</file>